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D0969" w14:textId="2C6E5D46" w:rsidR="009C2A52" w:rsidRDefault="00504EAC">
      <w:pPr>
        <w:rPr>
          <w:rFonts w:ascii="Aptos Narrow" w:eastAsia="Alegreya" w:hAnsi="Aptos Narrow" w:cs="Alegreya"/>
          <w:b/>
        </w:rPr>
      </w:pPr>
      <w:r>
        <w:rPr>
          <w:rFonts w:ascii="Aptos Narrow" w:eastAsia="Alegreya" w:hAnsi="Aptos Narrow" w:cs="Alegreya"/>
          <w:b/>
          <w:noProof/>
        </w:rPr>
        <w:drawing>
          <wp:inline distT="0" distB="0" distL="0" distR="0" wp14:anchorId="20FD121C" wp14:editId="4BCC1B91">
            <wp:extent cx="7559675" cy="10692130"/>
            <wp:effectExtent l="0" t="0" r="3175" b="0"/>
            <wp:docPr id="450186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86484" name="Picture 4501864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2130"/>
                    </a:xfrm>
                    <a:prstGeom prst="rect">
                      <a:avLst/>
                    </a:prstGeom>
                  </pic:spPr>
                </pic:pic>
              </a:graphicData>
            </a:graphic>
          </wp:inline>
        </w:drawing>
      </w:r>
      <w:r w:rsidR="009C2A52">
        <w:rPr>
          <w:rFonts w:ascii="Aptos Narrow" w:eastAsia="Alegreya" w:hAnsi="Aptos Narrow" w:cs="Alegreya"/>
          <w:b/>
        </w:rPr>
        <w:br w:type="page"/>
      </w:r>
    </w:p>
    <w:p w14:paraId="3904BCCE" w14:textId="77777777" w:rsidR="009C2A52" w:rsidRDefault="009C2A52">
      <w:pPr>
        <w:spacing w:after="0"/>
        <w:rPr>
          <w:rFonts w:ascii="Aptos Narrow" w:eastAsia="Alegreya" w:hAnsi="Aptos Narrow" w:cs="Alegreya"/>
          <w:u w:val="single"/>
        </w:rPr>
        <w:sectPr w:rsidR="009C2A52" w:rsidSect="009C2A52">
          <w:pgSz w:w="11906" w:h="16838"/>
          <w:pgMar w:top="0" w:right="0" w:bottom="0" w:left="0" w:header="709" w:footer="709" w:gutter="0"/>
          <w:pgNumType w:start="1"/>
          <w:cols w:space="720"/>
          <w:docGrid w:linePitch="299"/>
        </w:sectPr>
      </w:pPr>
    </w:p>
    <w:p w14:paraId="41E86439" w14:textId="36CDA202" w:rsidR="004E0F6E" w:rsidRPr="009C2A52" w:rsidRDefault="004E0F6E">
      <w:pPr>
        <w:spacing w:after="0"/>
        <w:rPr>
          <w:rFonts w:ascii="Aptos Narrow" w:eastAsia="Alegreya" w:hAnsi="Aptos Narrow" w:cs="Alegreya"/>
          <w:b/>
        </w:rPr>
      </w:pPr>
      <w:r>
        <w:rPr>
          <w:rFonts w:ascii="Aptos Narrow" w:eastAsia="Alegreya" w:hAnsi="Aptos Narrow" w:cs="Alegreya"/>
          <w:u w:val="single"/>
        </w:rPr>
        <w:lastRenderedPageBreak/>
        <w:t>Teaser Text</w:t>
      </w:r>
    </w:p>
    <w:p w14:paraId="23201AE8" w14:textId="77777777" w:rsidR="007E0A75" w:rsidRDefault="007E0A75">
      <w:pPr>
        <w:spacing w:after="0"/>
        <w:rPr>
          <w:rFonts w:ascii="Aptos Narrow" w:eastAsia="Alegreya" w:hAnsi="Aptos Narrow" w:cs="Alegreya"/>
        </w:rPr>
      </w:pPr>
    </w:p>
    <w:p w14:paraId="374448F2" w14:textId="73B4FA40" w:rsidR="007E0A75" w:rsidRPr="004E0F6E" w:rsidRDefault="007E0A75">
      <w:pPr>
        <w:spacing w:after="0"/>
        <w:rPr>
          <w:rFonts w:ascii="Aptos Narrow" w:eastAsia="Alegreya" w:hAnsi="Aptos Narrow" w:cs="Alegreya"/>
        </w:rPr>
      </w:pPr>
      <w:r w:rsidRPr="007E0A75">
        <w:rPr>
          <w:rFonts w:ascii="Aptos Narrow" w:eastAsia="Alegreya" w:hAnsi="Aptos Narrow" w:cs="Alegreya"/>
        </w:rPr>
        <w:t xml:space="preserve">When caring for children and young people (CYP) in the care system, professionals are often expected to prevent all possible risk, both to the CYP themselves and those in the community. However, less discussed are the potential consequences of being </w:t>
      </w:r>
      <w:r w:rsidRPr="007E0A75">
        <w:rPr>
          <w:rFonts w:ascii="Aptos Narrow" w:eastAsia="Alegreya" w:hAnsi="Aptos Narrow" w:cs="Alegreya"/>
          <w:i/>
          <w:iCs/>
        </w:rPr>
        <w:t>too</w:t>
      </w:r>
      <w:r w:rsidRPr="007E0A75">
        <w:rPr>
          <w:rFonts w:ascii="Aptos Narrow" w:eastAsia="Alegreya" w:hAnsi="Aptos Narrow" w:cs="Alegreya"/>
        </w:rPr>
        <w:t xml:space="preserve"> risk-averse in practice with CYP in care. The safeguarding practices often applied to CYP in care can border on overprotective, and evidence shows that overprotective parenting can prevent the development of skills necessary for success in adulthood, including independence, ability to cope with complex or uncertain situations, and social skills. Without the ability to effectively practice these skills, CYP in care may be at increased risk when entering adulthood and are needing to navigate the world with less professional support. Further, overprotective parenting can negatively impact the friendships and social networks of young people, which research repeatedly shows may lead to poorer long-term physical and mental health. This article summarises the evidence base to show how social care workers and systems may better balance child protection with the promotion of CYP’s wellbeing across the lifespan.  </w:t>
      </w:r>
    </w:p>
    <w:p w14:paraId="4AA6261D" w14:textId="77777777" w:rsidR="004E0F6E" w:rsidRDefault="004E0F6E">
      <w:pPr>
        <w:spacing w:after="0"/>
        <w:rPr>
          <w:rFonts w:ascii="Aptos Narrow" w:eastAsia="Alegreya" w:hAnsi="Aptos Narrow" w:cs="Alegreya"/>
        </w:rPr>
      </w:pPr>
    </w:p>
    <w:p w14:paraId="25A5B80B" w14:textId="77777777" w:rsidR="007E0A75" w:rsidRDefault="007E0A75">
      <w:pPr>
        <w:spacing w:after="0"/>
        <w:rPr>
          <w:rFonts w:ascii="Aptos Narrow" w:eastAsia="Alegreya" w:hAnsi="Aptos Narrow" w:cs="Alegreya"/>
        </w:rPr>
      </w:pPr>
    </w:p>
    <w:p w14:paraId="40B47E4D" w14:textId="77777777" w:rsidR="007E0A75" w:rsidRDefault="007E0A75">
      <w:pPr>
        <w:spacing w:after="0"/>
        <w:rPr>
          <w:rFonts w:ascii="Aptos Narrow" w:eastAsia="Alegreya" w:hAnsi="Aptos Narrow" w:cs="Alegreya"/>
        </w:rPr>
      </w:pPr>
    </w:p>
    <w:p w14:paraId="22C75E9E" w14:textId="77777777" w:rsidR="007E0A75" w:rsidRDefault="007E0A75">
      <w:pPr>
        <w:spacing w:after="0"/>
        <w:rPr>
          <w:rFonts w:ascii="Aptos Narrow" w:eastAsia="Alegreya" w:hAnsi="Aptos Narrow" w:cs="Alegreya"/>
        </w:rPr>
      </w:pPr>
    </w:p>
    <w:p w14:paraId="7E775256" w14:textId="77777777" w:rsidR="007E0A75" w:rsidRDefault="007E0A75">
      <w:pPr>
        <w:spacing w:after="0"/>
        <w:rPr>
          <w:rFonts w:ascii="Aptos Narrow" w:eastAsia="Alegreya" w:hAnsi="Aptos Narrow" w:cs="Alegreya"/>
        </w:rPr>
      </w:pPr>
    </w:p>
    <w:p w14:paraId="5CCCBC05" w14:textId="77777777" w:rsidR="007E0A75" w:rsidRDefault="007E0A75">
      <w:pPr>
        <w:spacing w:after="0"/>
        <w:rPr>
          <w:rFonts w:ascii="Aptos Narrow" w:eastAsia="Alegreya" w:hAnsi="Aptos Narrow" w:cs="Alegreya"/>
        </w:rPr>
      </w:pPr>
    </w:p>
    <w:p w14:paraId="3F8E1F35" w14:textId="77777777" w:rsidR="007E0A75" w:rsidRDefault="007E0A75">
      <w:pPr>
        <w:spacing w:after="0"/>
        <w:rPr>
          <w:rFonts w:ascii="Aptos Narrow" w:eastAsia="Alegreya" w:hAnsi="Aptos Narrow" w:cs="Alegreya"/>
        </w:rPr>
      </w:pPr>
    </w:p>
    <w:p w14:paraId="7A8773EA" w14:textId="77777777" w:rsidR="007E0A75" w:rsidRDefault="007E0A75">
      <w:pPr>
        <w:spacing w:after="0"/>
        <w:rPr>
          <w:rFonts w:ascii="Aptos Narrow" w:eastAsia="Alegreya" w:hAnsi="Aptos Narrow" w:cs="Alegreya"/>
        </w:rPr>
      </w:pPr>
    </w:p>
    <w:p w14:paraId="2084F39A" w14:textId="77777777" w:rsidR="007E0A75" w:rsidRDefault="007E0A75">
      <w:pPr>
        <w:spacing w:after="0"/>
        <w:rPr>
          <w:rFonts w:ascii="Aptos Narrow" w:eastAsia="Alegreya" w:hAnsi="Aptos Narrow" w:cs="Alegreya"/>
        </w:rPr>
      </w:pPr>
    </w:p>
    <w:p w14:paraId="485DFE22" w14:textId="77777777" w:rsidR="007E0A75" w:rsidRDefault="007E0A75">
      <w:pPr>
        <w:spacing w:after="0"/>
        <w:rPr>
          <w:rFonts w:ascii="Aptos Narrow" w:eastAsia="Alegreya" w:hAnsi="Aptos Narrow" w:cs="Alegreya"/>
        </w:rPr>
      </w:pPr>
    </w:p>
    <w:p w14:paraId="51DD6CB9" w14:textId="77777777" w:rsidR="007E0A75" w:rsidRDefault="007E0A75">
      <w:pPr>
        <w:spacing w:after="0"/>
        <w:rPr>
          <w:rFonts w:ascii="Aptos Narrow" w:eastAsia="Alegreya" w:hAnsi="Aptos Narrow" w:cs="Alegreya"/>
        </w:rPr>
      </w:pPr>
    </w:p>
    <w:p w14:paraId="541F5AEA" w14:textId="77777777" w:rsidR="007E0A75" w:rsidRDefault="007E0A75">
      <w:pPr>
        <w:spacing w:after="0"/>
        <w:rPr>
          <w:rFonts w:ascii="Aptos Narrow" w:eastAsia="Alegreya" w:hAnsi="Aptos Narrow" w:cs="Alegreya"/>
        </w:rPr>
      </w:pPr>
    </w:p>
    <w:p w14:paraId="73F03981" w14:textId="77777777" w:rsidR="007E0A75" w:rsidRDefault="007E0A75">
      <w:pPr>
        <w:spacing w:after="0"/>
        <w:rPr>
          <w:rFonts w:ascii="Aptos Narrow" w:eastAsia="Alegreya" w:hAnsi="Aptos Narrow" w:cs="Alegreya"/>
        </w:rPr>
      </w:pPr>
    </w:p>
    <w:p w14:paraId="2ABF2444" w14:textId="77777777" w:rsidR="007E0A75" w:rsidRDefault="007E0A75">
      <w:pPr>
        <w:spacing w:after="0"/>
        <w:rPr>
          <w:rFonts w:ascii="Aptos Narrow" w:eastAsia="Alegreya" w:hAnsi="Aptos Narrow" w:cs="Alegreya"/>
        </w:rPr>
      </w:pPr>
    </w:p>
    <w:p w14:paraId="670B3305" w14:textId="77777777" w:rsidR="007E0A75" w:rsidRDefault="007E0A75">
      <w:pPr>
        <w:spacing w:after="0"/>
        <w:rPr>
          <w:rFonts w:ascii="Aptos Narrow" w:eastAsia="Alegreya" w:hAnsi="Aptos Narrow" w:cs="Alegreya"/>
        </w:rPr>
      </w:pPr>
    </w:p>
    <w:p w14:paraId="3129E893" w14:textId="77777777" w:rsidR="007E0A75" w:rsidRDefault="007E0A75">
      <w:pPr>
        <w:spacing w:after="0"/>
        <w:rPr>
          <w:rFonts w:ascii="Aptos Narrow" w:eastAsia="Alegreya" w:hAnsi="Aptos Narrow" w:cs="Alegreya"/>
        </w:rPr>
      </w:pPr>
    </w:p>
    <w:p w14:paraId="42187215" w14:textId="77777777" w:rsidR="007E0A75" w:rsidRDefault="007E0A75">
      <w:pPr>
        <w:spacing w:after="0"/>
        <w:rPr>
          <w:rFonts w:ascii="Aptos Narrow" w:eastAsia="Alegreya" w:hAnsi="Aptos Narrow" w:cs="Alegreya"/>
        </w:rPr>
      </w:pPr>
    </w:p>
    <w:p w14:paraId="4CCE0D2A" w14:textId="77777777" w:rsidR="007E0A75" w:rsidRDefault="007E0A75">
      <w:pPr>
        <w:spacing w:after="0"/>
        <w:rPr>
          <w:rFonts w:ascii="Aptos Narrow" w:eastAsia="Alegreya" w:hAnsi="Aptos Narrow" w:cs="Alegreya"/>
        </w:rPr>
      </w:pPr>
    </w:p>
    <w:p w14:paraId="6ACCE0C4" w14:textId="77777777" w:rsidR="007E0A75" w:rsidRDefault="007E0A75">
      <w:pPr>
        <w:spacing w:after="0"/>
        <w:rPr>
          <w:rFonts w:ascii="Aptos Narrow" w:eastAsia="Alegreya" w:hAnsi="Aptos Narrow" w:cs="Alegreya"/>
        </w:rPr>
      </w:pPr>
    </w:p>
    <w:p w14:paraId="7E445CA1" w14:textId="77777777" w:rsidR="007E0A75" w:rsidRDefault="007E0A75">
      <w:pPr>
        <w:spacing w:after="0"/>
        <w:rPr>
          <w:rFonts w:ascii="Aptos Narrow" w:eastAsia="Alegreya" w:hAnsi="Aptos Narrow" w:cs="Alegreya"/>
        </w:rPr>
      </w:pPr>
    </w:p>
    <w:p w14:paraId="3B2FC649" w14:textId="77777777" w:rsidR="007E0A75" w:rsidRDefault="007E0A75">
      <w:pPr>
        <w:spacing w:after="0"/>
        <w:rPr>
          <w:rFonts w:ascii="Aptos Narrow" w:eastAsia="Alegreya" w:hAnsi="Aptos Narrow" w:cs="Alegreya"/>
        </w:rPr>
      </w:pPr>
    </w:p>
    <w:p w14:paraId="71999C88" w14:textId="77777777" w:rsidR="007E0A75" w:rsidRDefault="007E0A75">
      <w:pPr>
        <w:spacing w:after="0"/>
        <w:rPr>
          <w:rFonts w:ascii="Aptos Narrow" w:eastAsia="Alegreya" w:hAnsi="Aptos Narrow" w:cs="Alegreya"/>
        </w:rPr>
      </w:pPr>
    </w:p>
    <w:p w14:paraId="6777D698" w14:textId="77777777" w:rsidR="007E0A75" w:rsidRDefault="007E0A75">
      <w:pPr>
        <w:spacing w:after="0"/>
        <w:rPr>
          <w:rFonts w:ascii="Aptos Narrow" w:eastAsia="Alegreya" w:hAnsi="Aptos Narrow" w:cs="Alegreya"/>
        </w:rPr>
      </w:pPr>
    </w:p>
    <w:p w14:paraId="22E71E02" w14:textId="77777777" w:rsidR="007E0A75" w:rsidRDefault="007E0A75">
      <w:pPr>
        <w:spacing w:after="0"/>
        <w:rPr>
          <w:rFonts w:ascii="Aptos Narrow" w:eastAsia="Alegreya" w:hAnsi="Aptos Narrow" w:cs="Alegreya"/>
        </w:rPr>
      </w:pPr>
    </w:p>
    <w:p w14:paraId="4AFC4170" w14:textId="77777777" w:rsidR="007E0A75" w:rsidRDefault="007E0A75">
      <w:pPr>
        <w:spacing w:after="0"/>
        <w:rPr>
          <w:rFonts w:ascii="Aptos Narrow" w:eastAsia="Alegreya" w:hAnsi="Aptos Narrow" w:cs="Alegreya"/>
        </w:rPr>
      </w:pPr>
    </w:p>
    <w:p w14:paraId="74FFFB18" w14:textId="77777777" w:rsidR="007E0A75" w:rsidRDefault="007E0A75">
      <w:pPr>
        <w:spacing w:after="0"/>
        <w:rPr>
          <w:rFonts w:ascii="Aptos Narrow" w:eastAsia="Alegreya" w:hAnsi="Aptos Narrow" w:cs="Alegreya"/>
        </w:rPr>
      </w:pPr>
    </w:p>
    <w:p w14:paraId="01DC5F79" w14:textId="77777777" w:rsidR="007E0A75" w:rsidRDefault="007E0A75">
      <w:pPr>
        <w:spacing w:after="0"/>
        <w:rPr>
          <w:rFonts w:ascii="Aptos Narrow" w:eastAsia="Alegreya" w:hAnsi="Aptos Narrow" w:cs="Alegreya"/>
        </w:rPr>
      </w:pPr>
    </w:p>
    <w:p w14:paraId="117A531D" w14:textId="77777777" w:rsidR="007E0A75" w:rsidRDefault="007E0A75">
      <w:pPr>
        <w:spacing w:after="0"/>
        <w:rPr>
          <w:rFonts w:ascii="Aptos Narrow" w:eastAsia="Alegreya" w:hAnsi="Aptos Narrow" w:cs="Alegreya"/>
        </w:rPr>
      </w:pPr>
    </w:p>
    <w:p w14:paraId="7032EAE9" w14:textId="77777777" w:rsidR="007E0A75" w:rsidRDefault="007E0A75">
      <w:pPr>
        <w:spacing w:after="0"/>
        <w:rPr>
          <w:rFonts w:ascii="Aptos Narrow" w:eastAsia="Alegreya" w:hAnsi="Aptos Narrow" w:cs="Alegreya"/>
        </w:rPr>
      </w:pPr>
    </w:p>
    <w:p w14:paraId="5B58263C" w14:textId="77777777" w:rsidR="007E0A75" w:rsidRDefault="007E0A75">
      <w:pPr>
        <w:spacing w:after="0"/>
        <w:rPr>
          <w:rFonts w:ascii="Aptos Narrow" w:eastAsia="Alegreya" w:hAnsi="Aptos Narrow" w:cs="Alegreya"/>
        </w:rPr>
      </w:pPr>
    </w:p>
    <w:p w14:paraId="59220EC7" w14:textId="77777777" w:rsidR="007E0A75" w:rsidRDefault="007E0A75">
      <w:pPr>
        <w:spacing w:after="0"/>
        <w:rPr>
          <w:rFonts w:ascii="Aptos Narrow" w:eastAsia="Alegreya" w:hAnsi="Aptos Narrow" w:cs="Alegreya"/>
        </w:rPr>
      </w:pPr>
    </w:p>
    <w:p w14:paraId="63FC03B1" w14:textId="50652790" w:rsidR="007E0A75" w:rsidRDefault="007E0A75">
      <w:pPr>
        <w:spacing w:after="0"/>
        <w:rPr>
          <w:rFonts w:ascii="Aptos Narrow" w:eastAsia="Alegreya" w:hAnsi="Aptos Narrow" w:cs="Alegreya"/>
        </w:rPr>
      </w:pPr>
    </w:p>
    <w:p w14:paraId="78C622D9" w14:textId="77777777" w:rsidR="009C2A52" w:rsidRDefault="009C2A52">
      <w:pPr>
        <w:spacing w:after="0"/>
        <w:rPr>
          <w:rFonts w:ascii="Aptos Narrow" w:eastAsia="Alegreya" w:hAnsi="Aptos Narrow" w:cs="Alegreya"/>
        </w:rPr>
      </w:pPr>
    </w:p>
    <w:p w14:paraId="3114FB3A" w14:textId="77777777" w:rsidR="009C2A52" w:rsidRDefault="009C2A52">
      <w:pPr>
        <w:spacing w:after="0"/>
        <w:rPr>
          <w:rFonts w:ascii="Aptos Narrow" w:eastAsia="Alegreya" w:hAnsi="Aptos Narrow" w:cs="Alegreya"/>
        </w:rPr>
      </w:pPr>
    </w:p>
    <w:p w14:paraId="6F5E1BCA" w14:textId="77777777" w:rsidR="009C2A52" w:rsidRDefault="009C2A52">
      <w:pPr>
        <w:spacing w:after="0"/>
        <w:rPr>
          <w:rFonts w:ascii="Aptos Narrow" w:eastAsia="Alegreya" w:hAnsi="Aptos Narrow" w:cs="Alegreya"/>
        </w:rPr>
      </w:pPr>
    </w:p>
    <w:p w14:paraId="742284B9" w14:textId="77777777" w:rsidR="009C2A52" w:rsidRDefault="009C2A52">
      <w:pPr>
        <w:spacing w:after="0"/>
        <w:rPr>
          <w:rFonts w:ascii="Aptos Narrow" w:eastAsia="Alegreya" w:hAnsi="Aptos Narrow" w:cs="Alegreya"/>
        </w:rPr>
      </w:pPr>
    </w:p>
    <w:p w14:paraId="1D78E8F5" w14:textId="77777777" w:rsidR="007E0A75" w:rsidRDefault="007E0A75">
      <w:pPr>
        <w:spacing w:after="0"/>
        <w:rPr>
          <w:rFonts w:ascii="Aptos Narrow" w:eastAsia="Alegreya" w:hAnsi="Aptos Narrow" w:cs="Alegreya"/>
        </w:rPr>
      </w:pPr>
    </w:p>
    <w:p w14:paraId="54F2FD17" w14:textId="77777777" w:rsidR="007E0A75" w:rsidRDefault="007E0A75">
      <w:pPr>
        <w:spacing w:after="0"/>
        <w:rPr>
          <w:rFonts w:ascii="Aptos Narrow" w:eastAsia="Alegreya" w:hAnsi="Aptos Narrow" w:cs="Alegreya"/>
        </w:rPr>
      </w:pPr>
    </w:p>
    <w:p w14:paraId="381876F9" w14:textId="77777777" w:rsidR="007E0A75" w:rsidRDefault="007E0A75">
      <w:pPr>
        <w:spacing w:after="0"/>
        <w:rPr>
          <w:rFonts w:ascii="Aptos Narrow" w:eastAsia="Alegreya" w:hAnsi="Aptos Narrow" w:cs="Alegreya"/>
        </w:rPr>
      </w:pPr>
    </w:p>
    <w:p w14:paraId="1005FE22" w14:textId="77777777" w:rsidR="007E0A75" w:rsidRPr="00531640" w:rsidRDefault="007E0A75">
      <w:pPr>
        <w:spacing w:after="0"/>
        <w:rPr>
          <w:rFonts w:ascii="Aptos Narrow" w:eastAsia="Alegreya" w:hAnsi="Aptos Narrow" w:cs="Alegreya"/>
        </w:rPr>
      </w:pPr>
    </w:p>
    <w:p w14:paraId="00000003"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u w:val="single"/>
        </w:rPr>
        <w:lastRenderedPageBreak/>
        <w:t>Introduction</w:t>
      </w:r>
    </w:p>
    <w:p w14:paraId="00000004" w14:textId="77777777" w:rsidR="00AD7388" w:rsidRPr="00531640" w:rsidRDefault="00AD7388">
      <w:pPr>
        <w:spacing w:after="0"/>
        <w:rPr>
          <w:rFonts w:ascii="Aptos Narrow" w:eastAsia="Alegreya" w:hAnsi="Aptos Narrow" w:cs="Alegreya"/>
        </w:rPr>
      </w:pPr>
    </w:p>
    <w:p w14:paraId="00000005" w14:textId="261C21AE"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When children are in care, their experiences of growing up </w:t>
      </w:r>
      <w:r w:rsidR="000B4A02">
        <w:rPr>
          <w:rFonts w:ascii="Aptos Narrow" w:eastAsia="Alegreya" w:hAnsi="Aptos Narrow" w:cs="Alegreya"/>
        </w:rPr>
        <w:t xml:space="preserve">often differ from </w:t>
      </w:r>
      <w:r w:rsidRPr="00531640">
        <w:rPr>
          <w:rFonts w:ascii="Aptos Narrow" w:eastAsia="Alegreya" w:hAnsi="Aptos Narrow" w:cs="Alegreya"/>
        </w:rPr>
        <w:t xml:space="preserve">those of children living with their families. Despite ongoing efforts to make the upbringing of children in care more “normal,” </w:t>
      </w:r>
      <w:r w:rsidR="00F8416A">
        <w:rPr>
          <w:rFonts w:ascii="Aptos Narrow" w:eastAsia="Alegreya" w:hAnsi="Aptos Narrow" w:cs="Alegreya"/>
        </w:rPr>
        <w:t>certain</w:t>
      </w:r>
      <w:r w:rsidR="00913E0A">
        <w:rPr>
          <w:rFonts w:ascii="Aptos Narrow" w:eastAsia="Alegreya" w:hAnsi="Aptos Narrow" w:cs="Alegreya"/>
        </w:rPr>
        <w:t xml:space="preserve"> professional attitudes, policies, procedures, and expectations of care workers</w:t>
      </w:r>
      <w:r w:rsidRPr="00531640">
        <w:rPr>
          <w:rFonts w:ascii="Aptos Narrow" w:eastAsia="Alegreya" w:hAnsi="Aptos Narrow" w:cs="Alegreya"/>
        </w:rPr>
        <w:t xml:space="preserve"> can make giving young people in care a normal childhood difficult to achieve. Children in care are often subjected to safeguarding procedures that their peers who are not in care do not encounter. All their activities and relationships are closely monitored, recorded, and risk-a</w:t>
      </w:r>
      <w:r w:rsidRPr="00531640">
        <w:rPr>
          <w:rFonts w:ascii="Aptos Narrow" w:eastAsia="Alegreya" w:hAnsi="Aptos Narrow" w:cs="Alegreya"/>
        </w:rPr>
        <w:t xml:space="preserve">ssessed to ensure that the child is safe, and that nothing is missed that could later be seen as a failure of the professionals and the </w:t>
      </w:r>
      <w:r w:rsidR="00E52DEE">
        <w:rPr>
          <w:rFonts w:ascii="Aptos Narrow" w:eastAsia="Alegreya" w:hAnsi="Aptos Narrow" w:cs="Alegreya"/>
        </w:rPr>
        <w:t xml:space="preserve">care </w:t>
      </w:r>
      <w:r w:rsidRPr="00531640">
        <w:rPr>
          <w:rFonts w:ascii="Aptos Narrow" w:eastAsia="Alegreya" w:hAnsi="Aptos Narrow" w:cs="Alegreya"/>
        </w:rPr>
        <w:t>system</w:t>
      </w:r>
      <w:r w:rsidR="00E52DEE">
        <w:rPr>
          <w:rFonts w:ascii="Aptos Narrow" w:eastAsia="Alegreya" w:hAnsi="Aptos Narrow" w:cs="Alegreya"/>
        </w:rPr>
        <w:t xml:space="preserve"> </w:t>
      </w:r>
      <w:r w:rsidR="00D80C7F" w:rsidRPr="00531640">
        <w:rPr>
          <w:rFonts w:ascii="Aptos Narrow" w:eastAsia="Alegreya" w:hAnsi="Aptos Narrow" w:cs="Alegreya"/>
        </w:rPr>
        <w:t>if</w:t>
      </w:r>
      <w:r w:rsidRPr="00531640">
        <w:rPr>
          <w:rFonts w:ascii="Aptos Narrow" w:eastAsia="Alegreya" w:hAnsi="Aptos Narrow" w:cs="Alegreya"/>
        </w:rPr>
        <w:t xml:space="preserve"> the child or someone else is harmed. </w:t>
      </w:r>
    </w:p>
    <w:p w14:paraId="00000006" w14:textId="77777777" w:rsidR="00AD7388" w:rsidRPr="00531640" w:rsidRDefault="00AD7388">
      <w:pPr>
        <w:spacing w:after="0"/>
        <w:rPr>
          <w:rFonts w:ascii="Aptos Narrow" w:eastAsia="Alegreya" w:hAnsi="Aptos Narrow" w:cs="Alegreya"/>
        </w:rPr>
      </w:pPr>
    </w:p>
    <w:p w14:paraId="00000007" w14:textId="6E4A27B7" w:rsidR="00AD7388" w:rsidRPr="00531640" w:rsidRDefault="00E52DEE">
      <w:pPr>
        <w:spacing w:after="0"/>
        <w:rPr>
          <w:rFonts w:ascii="Aptos Narrow" w:eastAsia="Alegreya" w:hAnsi="Aptos Narrow" w:cs="Alegreya"/>
        </w:rPr>
      </w:pPr>
      <w:r>
        <w:rPr>
          <w:rFonts w:ascii="Aptos Narrow" w:eastAsia="Alegreya" w:hAnsi="Aptos Narrow" w:cs="Alegreya"/>
        </w:rPr>
        <w:t>This culture</w:t>
      </w:r>
      <w:r w:rsidRPr="00531640">
        <w:rPr>
          <w:rFonts w:ascii="Aptos Narrow" w:eastAsia="Alegreya" w:hAnsi="Aptos Narrow" w:cs="Alegreya"/>
        </w:rPr>
        <w:t xml:space="preserve"> can turn corporate parents into overprotective parents. Although, understandably, research on the consequences of safeguarding procedures within the care system is scarce, there does exist a body of research that shows how overprotective – or colloquially referred to as “helicopter” – parenting can be detrimental to normative development. Overprotective parenting may result in poorer social and developmental outcomes for young people, including reduced social competencies, mental health problems such as depression and low self-esteem, difficulties living independently in adulthood, and </w:t>
      </w:r>
      <w:r w:rsidR="002057B8">
        <w:rPr>
          <w:rFonts w:ascii="Aptos Narrow" w:eastAsia="Alegreya" w:hAnsi="Aptos Narrow" w:cs="Alegreya"/>
        </w:rPr>
        <w:t>impaired</w:t>
      </w:r>
      <w:r w:rsidRPr="00531640">
        <w:rPr>
          <w:rFonts w:ascii="Aptos Narrow" w:eastAsia="Alegreya" w:hAnsi="Aptos Narrow" w:cs="Alegreya"/>
        </w:rPr>
        <w:t xml:space="preserve"> decision-making capabilities (Bruysters &amp; Pilkington, 2022; Flamant et al., 2022; Gittins &amp; Hunt, 2019; Haidt, 2024). </w:t>
      </w:r>
      <w:r w:rsidR="00594EE1">
        <w:rPr>
          <w:rFonts w:ascii="Aptos Narrow" w:eastAsia="Alegreya" w:hAnsi="Aptos Narrow" w:cs="Alegreya"/>
        </w:rPr>
        <w:t>T</w:t>
      </w:r>
      <w:r w:rsidRPr="00531640">
        <w:rPr>
          <w:rFonts w:ascii="Aptos Narrow" w:eastAsia="Alegreya" w:hAnsi="Aptos Narrow" w:cs="Alegreya"/>
        </w:rPr>
        <w:t xml:space="preserve">his may ultimately make children and young people </w:t>
      </w:r>
      <w:r w:rsidRPr="00531640">
        <w:rPr>
          <w:rFonts w:ascii="Aptos Narrow" w:eastAsia="Alegreya" w:hAnsi="Aptos Narrow" w:cs="Alegreya"/>
          <w:i/>
        </w:rPr>
        <w:t>less</w:t>
      </w:r>
      <w:r w:rsidRPr="00531640">
        <w:rPr>
          <w:rFonts w:ascii="Aptos Narrow" w:eastAsia="Alegreya" w:hAnsi="Aptos Narrow" w:cs="Alegreya"/>
        </w:rPr>
        <w:t xml:space="preserve"> safe as they grow up and enter adulthood, despite</w:t>
      </w:r>
      <w:r w:rsidR="00594EE1">
        <w:rPr>
          <w:rFonts w:ascii="Aptos Narrow" w:eastAsia="Alegreya" w:hAnsi="Aptos Narrow" w:cs="Alegreya"/>
        </w:rPr>
        <w:t xml:space="preserve"> carers’ </w:t>
      </w:r>
      <w:r w:rsidRPr="00531640">
        <w:rPr>
          <w:rFonts w:ascii="Aptos Narrow" w:eastAsia="Alegreya" w:hAnsi="Aptos Narrow" w:cs="Alegreya"/>
        </w:rPr>
        <w:t xml:space="preserve">best efforts to protect them from harm while </w:t>
      </w:r>
      <w:r w:rsidR="00594EE1">
        <w:rPr>
          <w:rFonts w:ascii="Aptos Narrow" w:eastAsia="Alegreya" w:hAnsi="Aptos Narrow" w:cs="Alegreya"/>
        </w:rPr>
        <w:t>looked after</w:t>
      </w:r>
      <w:r w:rsidRPr="00531640">
        <w:rPr>
          <w:rFonts w:ascii="Aptos Narrow" w:eastAsia="Alegreya" w:hAnsi="Aptos Narrow" w:cs="Alegreya"/>
        </w:rPr>
        <w:t xml:space="preserve">. </w:t>
      </w:r>
    </w:p>
    <w:p w14:paraId="00000008" w14:textId="77777777" w:rsidR="00AD7388" w:rsidRPr="00531640" w:rsidRDefault="00AD7388">
      <w:pPr>
        <w:spacing w:after="0"/>
        <w:rPr>
          <w:rFonts w:ascii="Aptos Narrow" w:eastAsia="Alegreya" w:hAnsi="Aptos Narrow" w:cs="Alegreya"/>
        </w:rPr>
      </w:pPr>
    </w:p>
    <w:p w14:paraId="00000009" w14:textId="2328A463"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One characteristic of overprotective parenting is either intentionally or indirectly restricting young people’s interaction with their friends. The friendships of children in care are often heavily scrutinised, not taken seriously by </w:t>
      </w:r>
      <w:r w:rsidR="005B0186">
        <w:rPr>
          <w:rFonts w:ascii="Aptos Narrow" w:eastAsia="Alegreya" w:hAnsi="Aptos Narrow" w:cs="Alegreya"/>
        </w:rPr>
        <w:t>p</w:t>
      </w:r>
      <w:r w:rsidRPr="00531640">
        <w:rPr>
          <w:rFonts w:ascii="Aptos Narrow" w:eastAsia="Alegreya" w:hAnsi="Aptos Narrow" w:cs="Alegreya"/>
        </w:rPr>
        <w:t xml:space="preserve">rofessionals, or simply not encouraged (Haddow et al., 2021; Irvine &amp; Emond, 2023; McMahon &amp; Curtin, 2012). Further, most young people enter the care system </w:t>
      </w:r>
      <w:r w:rsidR="009B356B">
        <w:rPr>
          <w:rFonts w:ascii="Aptos Narrow" w:eastAsia="Alegreya" w:hAnsi="Aptos Narrow" w:cs="Alegreya"/>
        </w:rPr>
        <w:t xml:space="preserve">with </w:t>
      </w:r>
      <w:r w:rsidRPr="00531640">
        <w:rPr>
          <w:rFonts w:ascii="Aptos Narrow" w:eastAsia="Alegreya" w:hAnsi="Aptos Narrow" w:cs="Alegreya"/>
        </w:rPr>
        <w:t>their social networks disrupted</w:t>
      </w:r>
      <w:r w:rsidR="0060143E">
        <w:rPr>
          <w:rFonts w:ascii="Aptos Narrow" w:eastAsia="Alegreya" w:hAnsi="Aptos Narrow" w:cs="Alegreya"/>
        </w:rPr>
        <w:t>. I</w:t>
      </w:r>
      <w:r w:rsidRPr="00531640">
        <w:rPr>
          <w:rFonts w:ascii="Aptos Narrow" w:eastAsia="Alegreya" w:hAnsi="Aptos Narrow" w:cs="Alegreya"/>
        </w:rPr>
        <w:t>n England,</w:t>
      </w:r>
      <w:r w:rsidR="0060143E">
        <w:rPr>
          <w:rFonts w:ascii="Aptos Narrow" w:eastAsia="Alegreya" w:hAnsi="Aptos Narrow" w:cs="Alegreya"/>
        </w:rPr>
        <w:t xml:space="preserve"> for example,</w:t>
      </w:r>
      <w:r w:rsidRPr="00531640">
        <w:rPr>
          <w:rFonts w:ascii="Aptos Narrow" w:eastAsia="Alegreya" w:hAnsi="Aptos Narrow" w:cs="Alegreya"/>
        </w:rPr>
        <w:t xml:space="preserve"> over 20% of children in care live more than twenty miles from their home, making sustaining their pre-care friendships much more difficult (Become, 2024). For care-experienced children and young people</w:t>
      </w:r>
      <w:r w:rsidR="0003705D">
        <w:rPr>
          <w:rFonts w:ascii="Aptos Narrow" w:eastAsia="Alegreya" w:hAnsi="Aptos Narrow" w:cs="Alegreya"/>
        </w:rPr>
        <w:t xml:space="preserve"> (CYP)</w:t>
      </w:r>
      <w:r w:rsidRPr="00531640">
        <w:rPr>
          <w:rFonts w:ascii="Aptos Narrow" w:eastAsia="Alegreya" w:hAnsi="Aptos Narrow" w:cs="Alegreya"/>
        </w:rPr>
        <w:t xml:space="preserve"> who experience multiple, </w:t>
      </w:r>
      <w:r w:rsidR="00414948">
        <w:rPr>
          <w:rFonts w:ascii="Aptos Narrow" w:eastAsia="Alegreya" w:hAnsi="Aptos Narrow" w:cs="Alegreya"/>
        </w:rPr>
        <w:t xml:space="preserve">sometimes </w:t>
      </w:r>
      <w:r w:rsidRPr="00531640">
        <w:rPr>
          <w:rFonts w:ascii="Aptos Narrow" w:eastAsia="Alegreya" w:hAnsi="Aptos Narrow" w:cs="Alegreya"/>
        </w:rPr>
        <w:t xml:space="preserve">unplanned moves and transitions, friendships </w:t>
      </w:r>
      <w:r w:rsidR="00414948">
        <w:rPr>
          <w:rFonts w:ascii="Aptos Narrow" w:eastAsia="Alegreya" w:hAnsi="Aptos Narrow" w:cs="Alegreya"/>
        </w:rPr>
        <w:t xml:space="preserve">may </w:t>
      </w:r>
      <w:r w:rsidRPr="00531640">
        <w:rPr>
          <w:rFonts w:ascii="Aptos Narrow" w:eastAsia="Alegreya" w:hAnsi="Aptos Narrow" w:cs="Alegreya"/>
        </w:rPr>
        <w:t xml:space="preserve">help mitigate the impacts of these and lead to stronger social networks over time (Haggman-Laitila et al., 2019; Mendes et al., 2022; Roesch-Marsh &amp; Emond, 2020). Despite this, the friendships of care-experienced </w:t>
      </w:r>
      <w:r w:rsidR="0003705D">
        <w:rPr>
          <w:rFonts w:ascii="Aptos Narrow" w:eastAsia="Alegreya" w:hAnsi="Aptos Narrow" w:cs="Alegreya"/>
        </w:rPr>
        <w:t>CYP</w:t>
      </w:r>
      <w:r w:rsidRPr="00531640">
        <w:rPr>
          <w:rFonts w:ascii="Aptos Narrow" w:eastAsia="Alegreya" w:hAnsi="Aptos Narrow" w:cs="Alegreya"/>
        </w:rPr>
        <w:t xml:space="preserve"> ar</w:t>
      </w:r>
      <w:r w:rsidRPr="00531640">
        <w:rPr>
          <w:rFonts w:ascii="Aptos Narrow" w:eastAsia="Alegreya" w:hAnsi="Aptos Narrow" w:cs="Alegreya"/>
        </w:rPr>
        <w:t xml:space="preserve">e rarely considered in safeguarding plans (Roesch-Marsh &amp; Emond, 2020). Further, depending on a young person’s </w:t>
      </w:r>
      <w:r w:rsidR="001576C0">
        <w:rPr>
          <w:rFonts w:ascii="Aptos Narrow" w:eastAsia="Alegreya" w:hAnsi="Aptos Narrow" w:cs="Alegreya"/>
        </w:rPr>
        <w:t>situation</w:t>
      </w:r>
      <w:r w:rsidRPr="00531640">
        <w:rPr>
          <w:rFonts w:ascii="Aptos Narrow" w:eastAsia="Alegreya" w:hAnsi="Aptos Narrow" w:cs="Alegreya"/>
        </w:rPr>
        <w:t xml:space="preserve">, friendships may be seen by professionals as risk rather than protective factors. </w:t>
      </w:r>
    </w:p>
    <w:p w14:paraId="0000000A" w14:textId="77777777" w:rsidR="00AD7388" w:rsidRPr="00531640" w:rsidRDefault="00AD7388">
      <w:pPr>
        <w:spacing w:after="0"/>
        <w:rPr>
          <w:rFonts w:ascii="Aptos Narrow" w:eastAsia="Alegreya" w:hAnsi="Aptos Narrow" w:cs="Alegreya"/>
        </w:rPr>
      </w:pPr>
    </w:p>
    <w:p w14:paraId="0000000B" w14:textId="79963AF4" w:rsidR="00AD7388" w:rsidRPr="00531640" w:rsidRDefault="001576C0">
      <w:pPr>
        <w:spacing w:after="0"/>
        <w:rPr>
          <w:rFonts w:ascii="Aptos Narrow" w:eastAsia="Alegreya" w:hAnsi="Aptos Narrow" w:cs="Alegreya"/>
        </w:rPr>
      </w:pPr>
      <w:r>
        <w:rPr>
          <w:rFonts w:ascii="Aptos Narrow" w:eastAsia="Alegreya" w:hAnsi="Aptos Narrow" w:cs="Alegreya"/>
        </w:rPr>
        <w:t>B</w:t>
      </w:r>
      <w:r w:rsidRPr="00531640">
        <w:rPr>
          <w:rFonts w:ascii="Aptos Narrow" w:eastAsia="Alegreya" w:hAnsi="Aptos Narrow" w:cs="Alegreya"/>
        </w:rPr>
        <w:t>eyond the care sector, several studies and reviews have demonstrated the long-term consequences of poor social connection and a lack of strong friendships in childhood (Allen et al., 2025; Blum et al., 2022; Ehrhardt &amp; Schacter, 2024; Orben et al., 2020; Šutić et al., 2025)</w:t>
      </w:r>
      <w:r w:rsidR="000F6FA6">
        <w:rPr>
          <w:rFonts w:ascii="Aptos Narrow" w:eastAsia="Alegreya" w:hAnsi="Aptos Narrow" w:cs="Alegreya"/>
        </w:rPr>
        <w:t>, including</w:t>
      </w:r>
      <w:r w:rsidRPr="00531640">
        <w:rPr>
          <w:rFonts w:ascii="Aptos Narrow" w:eastAsia="Alegreya" w:hAnsi="Aptos Narrow" w:cs="Alegreya"/>
        </w:rPr>
        <w:t xml:space="preserve"> poor self-esteem, anxiety and depression, and impairments to cognition.</w:t>
      </w:r>
      <w:r w:rsidR="00FD6AB9">
        <w:rPr>
          <w:rFonts w:ascii="Aptos Narrow" w:eastAsia="Alegreya" w:hAnsi="Aptos Narrow" w:cs="Alegreya"/>
        </w:rPr>
        <w:t xml:space="preserve"> </w:t>
      </w:r>
      <w:r w:rsidR="00197F22">
        <w:rPr>
          <w:rFonts w:ascii="Aptos Narrow" w:eastAsia="Alegreya" w:hAnsi="Aptos Narrow" w:cs="Alegreya"/>
        </w:rPr>
        <w:t>For example, S</w:t>
      </w:r>
      <w:r w:rsidRPr="00531640">
        <w:rPr>
          <w:rFonts w:ascii="Aptos Narrow" w:eastAsia="Alegreya" w:hAnsi="Aptos Narrow" w:cs="Alegreya"/>
        </w:rPr>
        <w:t>akyi et al. (2015) completed a longitudinal study on childhood friendships and psychological difficulties in young adulthood</w:t>
      </w:r>
      <w:r w:rsidR="00FD6AB9">
        <w:rPr>
          <w:rFonts w:ascii="Aptos Narrow" w:eastAsia="Alegreya" w:hAnsi="Aptos Narrow" w:cs="Alegreya"/>
        </w:rPr>
        <w:t xml:space="preserve">, finding that those </w:t>
      </w:r>
      <w:r w:rsidRPr="00531640">
        <w:rPr>
          <w:rFonts w:ascii="Aptos Narrow" w:eastAsia="Alegreya" w:hAnsi="Aptos Narrow" w:cs="Alegreya"/>
        </w:rPr>
        <w:t>who had at least one childhood friend were significantly less likely to experience psychological difficulties in adulthood</w:t>
      </w:r>
      <w:r w:rsidR="00FD6AB9">
        <w:rPr>
          <w:rFonts w:ascii="Aptos Narrow" w:eastAsia="Alegreya" w:hAnsi="Aptos Narrow" w:cs="Alegreya"/>
        </w:rPr>
        <w:t>, compared with</w:t>
      </w:r>
      <w:r w:rsidRPr="00531640">
        <w:rPr>
          <w:rFonts w:ascii="Aptos Narrow" w:eastAsia="Alegreya" w:hAnsi="Aptos Narrow" w:cs="Alegreya"/>
        </w:rPr>
        <w:t xml:space="preserve"> those who had no friends. Adolescents and young adults who are socially isolated are also at increased risk of poor physical health, including but not limited to: migraine, asthma, hypertension, and arthritis (Christiansen et al., 2025). Further, a lack of adequate social relationships has been found to decrease life expectancy, with those having sufficient social relationships being on average 50% more likely to survive compared to those with insufficient social relationships, surpassing other risk factors for mortality such as obesity (Holt-Lunstad et al., 2010). </w:t>
      </w:r>
    </w:p>
    <w:p w14:paraId="0000000C" w14:textId="77777777" w:rsidR="00AD7388" w:rsidRPr="00531640" w:rsidRDefault="00AD7388">
      <w:pPr>
        <w:spacing w:after="0"/>
        <w:rPr>
          <w:rFonts w:ascii="Aptos Narrow" w:eastAsia="Alegreya" w:hAnsi="Aptos Narrow" w:cs="Alegreya"/>
        </w:rPr>
      </w:pPr>
    </w:p>
    <w:p w14:paraId="0000000D" w14:textId="3AE82336" w:rsidR="00AD7388" w:rsidRPr="00531640" w:rsidRDefault="00B83410">
      <w:pPr>
        <w:spacing w:after="0"/>
        <w:rPr>
          <w:rFonts w:ascii="Aptos Narrow" w:eastAsia="Alegreya" w:hAnsi="Aptos Narrow" w:cs="Alegreya"/>
        </w:rPr>
      </w:pPr>
      <w:r w:rsidRPr="00531640">
        <w:rPr>
          <w:rFonts w:ascii="Aptos Narrow" w:eastAsia="Alegreya" w:hAnsi="Aptos Narrow" w:cs="Alegreya"/>
        </w:rPr>
        <w:t>Hesitancy to give</w:t>
      </w:r>
      <w:r w:rsidR="00C56330">
        <w:rPr>
          <w:rFonts w:ascii="Aptos Narrow" w:eastAsia="Alegreya" w:hAnsi="Aptos Narrow" w:cs="Alegreya"/>
        </w:rPr>
        <w:t xml:space="preserve"> CYP </w:t>
      </w:r>
      <w:r w:rsidRPr="00531640">
        <w:rPr>
          <w:rFonts w:ascii="Aptos Narrow" w:eastAsia="Alegreya" w:hAnsi="Aptos Narrow" w:cs="Alegreya"/>
        </w:rPr>
        <w:t xml:space="preserve">in care freedom surrounding their friendships </w:t>
      </w:r>
      <w:r w:rsidR="007D177B">
        <w:rPr>
          <w:rFonts w:ascii="Aptos Narrow" w:eastAsia="Alegreya" w:hAnsi="Aptos Narrow" w:cs="Alegreya"/>
        </w:rPr>
        <w:t>often relates to the</w:t>
      </w:r>
      <w:r w:rsidRPr="00531640">
        <w:rPr>
          <w:rFonts w:ascii="Aptos Narrow" w:eastAsia="Alegreya" w:hAnsi="Aptos Narrow" w:cs="Alegreya"/>
        </w:rPr>
        <w:t xml:space="preserve"> fear that they will take risks. This is by no means </w:t>
      </w:r>
      <w:r w:rsidR="007D177B">
        <w:rPr>
          <w:rFonts w:ascii="Aptos Narrow" w:eastAsia="Alegreya" w:hAnsi="Aptos Narrow" w:cs="Alegreya"/>
        </w:rPr>
        <w:t>unfounded</w:t>
      </w:r>
      <w:r w:rsidRPr="00531640">
        <w:rPr>
          <w:rFonts w:ascii="Aptos Narrow" w:eastAsia="Alegreya" w:hAnsi="Aptos Narrow" w:cs="Alegreya"/>
        </w:rPr>
        <w:t>, as many young people do indeed take risks with their friends, and these risks sometimes have negative consequences (Siraj et al., 2021; Zhang &amp; Wang, 2025). However, there appears to be a balance that needs to be struck, as research of young people – adolescents in particular – shows repeatedly that risk-taking increases</w:t>
      </w:r>
      <w:r w:rsidR="009514DE">
        <w:rPr>
          <w:rFonts w:ascii="Aptos Narrow" w:eastAsia="Alegreya" w:hAnsi="Aptos Narrow" w:cs="Alegreya"/>
        </w:rPr>
        <w:t xml:space="preserve"> </w:t>
      </w:r>
      <w:r w:rsidRPr="00531640">
        <w:rPr>
          <w:rFonts w:ascii="Aptos Narrow" w:eastAsia="Alegreya" w:hAnsi="Aptos Narrow" w:cs="Alegreya"/>
        </w:rPr>
        <w:t xml:space="preserve">for a distinctive developmental purpose (Ciranka &amp; van den Bos, 2021; Galván, 2025; Saragosa-Harris et al., 2022).  Adolescents need to take and learn to manage risks </w:t>
      </w:r>
      <w:r w:rsidR="009514DE" w:rsidRPr="00531640">
        <w:rPr>
          <w:rFonts w:ascii="Aptos Narrow" w:eastAsia="Alegreya" w:hAnsi="Aptos Narrow" w:cs="Alegreya"/>
        </w:rPr>
        <w:t>to</w:t>
      </w:r>
      <w:r w:rsidRPr="00531640">
        <w:rPr>
          <w:rFonts w:ascii="Aptos Narrow" w:eastAsia="Alegreya" w:hAnsi="Aptos Narrow" w:cs="Alegreya"/>
        </w:rPr>
        <w:t xml:space="preserve"> function better in adulthood, and risk-taking is normally done in the presence of friends.  Therefore, to corporate parents trying to keep young people in care safe, </w:t>
      </w:r>
      <w:r w:rsidR="00085789">
        <w:rPr>
          <w:rFonts w:ascii="Aptos Narrow" w:eastAsia="Alegreya" w:hAnsi="Aptos Narrow" w:cs="Alegreya"/>
        </w:rPr>
        <w:t>friendships may seem like a catalyst for the risk professionals are working to manage.</w:t>
      </w:r>
    </w:p>
    <w:p w14:paraId="0000000E" w14:textId="77777777" w:rsidR="00AD7388" w:rsidRPr="00531640" w:rsidRDefault="00AD7388">
      <w:pPr>
        <w:spacing w:after="0"/>
        <w:rPr>
          <w:rFonts w:ascii="Aptos Narrow" w:eastAsia="Alegreya" w:hAnsi="Aptos Narrow" w:cs="Alegreya"/>
        </w:rPr>
      </w:pPr>
    </w:p>
    <w:p w14:paraId="0000000F" w14:textId="7B51DA9A"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In this paper, I argue that being overly risk-averse in practice </w:t>
      </w:r>
      <w:r w:rsidR="00C56330">
        <w:rPr>
          <w:rFonts w:ascii="Aptos Narrow" w:eastAsia="Alegreya" w:hAnsi="Aptos Narrow" w:cs="Alegreya"/>
        </w:rPr>
        <w:t>with CYP</w:t>
      </w:r>
      <w:r w:rsidRPr="00531640">
        <w:rPr>
          <w:rFonts w:ascii="Aptos Narrow" w:eastAsia="Alegreya" w:hAnsi="Aptos Narrow" w:cs="Alegreya"/>
        </w:rPr>
        <w:t xml:space="preserve"> in care, or taking on the role of an overprotectiv</w:t>
      </w:r>
      <w:r w:rsidR="00412CCB">
        <w:rPr>
          <w:rFonts w:ascii="Aptos Narrow" w:eastAsia="Alegreya" w:hAnsi="Aptos Narrow" w:cs="Alegreya"/>
        </w:rPr>
        <w:t xml:space="preserve">e </w:t>
      </w:r>
      <w:r w:rsidRPr="00531640">
        <w:rPr>
          <w:rFonts w:ascii="Aptos Narrow" w:eastAsia="Alegreya" w:hAnsi="Aptos Narrow" w:cs="Alegreya"/>
        </w:rPr>
        <w:t xml:space="preserve">parent, can put young people at increased risk both during and after their time </w:t>
      </w:r>
      <w:r w:rsidR="00412CCB">
        <w:rPr>
          <w:rFonts w:ascii="Aptos Narrow" w:eastAsia="Alegreya" w:hAnsi="Aptos Narrow" w:cs="Alegreya"/>
        </w:rPr>
        <w:t>in care</w:t>
      </w:r>
      <w:r w:rsidRPr="00531640">
        <w:rPr>
          <w:rFonts w:ascii="Aptos Narrow" w:eastAsia="Alegreya" w:hAnsi="Aptos Narrow" w:cs="Alegreya"/>
        </w:rPr>
        <w:t xml:space="preserve">. I will focus primarily on the risk </w:t>
      </w:r>
      <w:r w:rsidRPr="00531640">
        <w:rPr>
          <w:rFonts w:ascii="Aptos Narrow" w:eastAsia="Alegreya" w:hAnsi="Aptos Narrow" w:cs="Alegreya"/>
        </w:rPr>
        <w:lastRenderedPageBreak/>
        <w:t>that comes with restricting young people’s access to friendships, highlighting the many developmental outcomes that are associated with having friends in childhood. The period of adolescence will be given a particular focus, as this is the time in which the friendships of young people can become a greater cause for concern am</w:t>
      </w:r>
      <w:r w:rsidRPr="00531640">
        <w:rPr>
          <w:rFonts w:ascii="Aptos Narrow" w:eastAsia="Alegreya" w:hAnsi="Aptos Narrow" w:cs="Alegreya"/>
        </w:rPr>
        <w:t xml:space="preserve">ong caretakers as young people begin to have more freedom around how they spend their time and with whom. Adolescence is also a period in which friendships become crucial to overall development, and the risks of young people not having friends during this time needs to be weighed against the risks they may take while with friends. That said, the friendships that children have earlier in life, and the social skills honed through them, nonetheless influence their adolescent friendships as well (Rubin et al., </w:t>
      </w:r>
      <w:r w:rsidRPr="00531640">
        <w:rPr>
          <w:rFonts w:ascii="Aptos Narrow" w:eastAsia="Alegreya" w:hAnsi="Aptos Narrow" w:cs="Alegreya"/>
        </w:rPr>
        <w:t xml:space="preserve">2008). Therefore, I posit that the friendships of </w:t>
      </w:r>
      <w:r w:rsidR="00C56330">
        <w:rPr>
          <w:rFonts w:ascii="Aptos Narrow" w:eastAsia="Alegreya" w:hAnsi="Aptos Narrow" w:cs="Alegreya"/>
        </w:rPr>
        <w:t xml:space="preserve">CYP </w:t>
      </w:r>
      <w:r w:rsidRPr="00531640">
        <w:rPr>
          <w:rFonts w:ascii="Aptos Narrow" w:eastAsia="Alegreya" w:hAnsi="Aptos Narrow" w:cs="Alegreya"/>
        </w:rPr>
        <w:t xml:space="preserve">in care should be valued and supported from as early as possible </w:t>
      </w:r>
      <w:r w:rsidR="00742843" w:rsidRPr="00531640">
        <w:rPr>
          <w:rFonts w:ascii="Aptos Narrow" w:eastAsia="Alegreya" w:hAnsi="Aptos Narrow" w:cs="Alegreya"/>
        </w:rPr>
        <w:t>to</w:t>
      </w:r>
      <w:r w:rsidRPr="00531640">
        <w:rPr>
          <w:rFonts w:ascii="Aptos Narrow" w:eastAsia="Alegreya" w:hAnsi="Aptos Narrow" w:cs="Alegreya"/>
        </w:rPr>
        <w:t xml:space="preserve"> allow for the best possible outcomes.  </w:t>
      </w:r>
    </w:p>
    <w:p w14:paraId="00000010" w14:textId="77777777" w:rsidR="00AD7388" w:rsidRPr="00531640" w:rsidRDefault="00AD7388">
      <w:pPr>
        <w:spacing w:after="0"/>
        <w:rPr>
          <w:rFonts w:ascii="Aptos Narrow" w:eastAsia="Alegreya" w:hAnsi="Aptos Narrow" w:cs="Alegreya"/>
        </w:rPr>
      </w:pPr>
    </w:p>
    <w:p w14:paraId="00000011" w14:textId="77777777" w:rsidR="00AD7388" w:rsidRPr="00531640" w:rsidRDefault="00AD7388">
      <w:pPr>
        <w:spacing w:after="0"/>
        <w:rPr>
          <w:rFonts w:ascii="Aptos Narrow" w:eastAsia="Alegreya" w:hAnsi="Aptos Narrow" w:cs="Alegreya"/>
        </w:rPr>
      </w:pPr>
    </w:p>
    <w:p w14:paraId="00000012"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u w:val="single"/>
        </w:rPr>
        <w:t>Parenting Styles</w:t>
      </w:r>
    </w:p>
    <w:p w14:paraId="00000013" w14:textId="77777777" w:rsidR="00AD7388" w:rsidRPr="00531640" w:rsidRDefault="00AD7388">
      <w:pPr>
        <w:spacing w:after="0"/>
        <w:rPr>
          <w:rFonts w:ascii="Aptos Narrow" w:eastAsia="Alegreya" w:hAnsi="Aptos Narrow" w:cs="Alegreya"/>
        </w:rPr>
      </w:pPr>
    </w:p>
    <w:p w14:paraId="00000014" w14:textId="123D4B31"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In keeping with the metaphor of the overprotective parent, I will start with an overview of the different parenting styles and how these may match those of professionals working in the care system. </w:t>
      </w:r>
      <w:r w:rsidR="009618EE">
        <w:rPr>
          <w:rFonts w:ascii="Aptos Narrow" w:eastAsia="Alegreya" w:hAnsi="Aptos Narrow" w:cs="Alegreya"/>
        </w:rPr>
        <w:t>It is important to note that parenting styles impact on children, regardless of who is using them</w:t>
      </w:r>
      <w:r w:rsidR="00C11E42">
        <w:rPr>
          <w:rFonts w:ascii="Aptos Narrow" w:eastAsia="Alegreya" w:hAnsi="Aptos Narrow" w:cs="Alegreya"/>
        </w:rPr>
        <w:t xml:space="preserve">, workers included (Richaud de Minzi, 2006). </w:t>
      </w:r>
      <w:r w:rsidRPr="00531640">
        <w:rPr>
          <w:rFonts w:ascii="Aptos Narrow" w:eastAsia="Alegreya" w:hAnsi="Aptos Narrow" w:cs="Alegreya"/>
        </w:rPr>
        <w:t>The concept of parenting style is divided into four styles – authoritarian, authoritative, indulgent, and negligent – with each differentiated based on their responsiveness and demandingness (Baumrind et al., 1967; Maccoby &amp; Martin, 1983)</w:t>
      </w:r>
      <w:r w:rsidR="00D2005B">
        <w:rPr>
          <w:rFonts w:ascii="Aptos Narrow" w:eastAsia="Alegreya" w:hAnsi="Aptos Narrow" w:cs="Alegreya"/>
        </w:rPr>
        <w:t xml:space="preserve">. Authoritarian parenting is characterised by high demandingness (strictness) and low responsiveness (warmth and support). Evidence shows that authoritative parenting is most conducive to children’s adjustment and wellbeing, as they have </w:t>
      </w:r>
      <w:r w:rsidR="003A6B60">
        <w:rPr>
          <w:rFonts w:ascii="Aptos Narrow" w:eastAsia="Alegreya" w:hAnsi="Aptos Narrow" w:cs="Alegreya"/>
        </w:rPr>
        <w:t xml:space="preserve">clear expectations and boundaries for their children yet are open to communicating these from a place of warmth. Indulgent parents show low demandingness and high responsiveness, while negligent parents are both uninvolved and unattuned (Urone, 2024). </w:t>
      </w:r>
    </w:p>
    <w:p w14:paraId="00000015" w14:textId="77777777" w:rsidR="00AD7388" w:rsidRPr="00531640" w:rsidRDefault="00AD7388">
      <w:pPr>
        <w:spacing w:after="0"/>
        <w:rPr>
          <w:rFonts w:ascii="Aptos Narrow" w:eastAsia="Alegreya" w:hAnsi="Aptos Narrow" w:cs="Alegreya"/>
        </w:rPr>
      </w:pPr>
    </w:p>
    <w:p w14:paraId="00000016" w14:textId="3EA6AD81" w:rsidR="00AD7388" w:rsidRPr="00531640" w:rsidRDefault="003A3916">
      <w:pPr>
        <w:spacing w:after="0"/>
        <w:rPr>
          <w:rFonts w:ascii="Aptos Narrow" w:eastAsia="Alegreya" w:hAnsi="Aptos Narrow" w:cs="Alegreya"/>
        </w:rPr>
      </w:pPr>
      <w:r>
        <w:rPr>
          <w:rFonts w:ascii="Aptos Narrow" w:eastAsia="Alegreya" w:hAnsi="Aptos Narrow" w:cs="Alegreya"/>
        </w:rPr>
        <w:t>Additionally, parents may use an “overparenting” style</w:t>
      </w:r>
      <w:r w:rsidRPr="00531640">
        <w:rPr>
          <w:rFonts w:ascii="Aptos Narrow" w:eastAsia="Alegreya" w:hAnsi="Aptos Narrow" w:cs="Alegreya"/>
        </w:rPr>
        <w:t xml:space="preserve"> (Ginott, 1969).</w:t>
      </w:r>
      <w:r>
        <w:rPr>
          <w:rFonts w:ascii="Aptos Narrow" w:eastAsia="Alegreya" w:hAnsi="Aptos Narrow" w:cs="Alegreya"/>
        </w:rPr>
        <w:t xml:space="preserve"> Overparenting combines the most involved aspects of both authoritarian and authoritative parenting, representing parents that are both intrusive and protective, and warm and emotionally involved. </w:t>
      </w:r>
      <w:r w:rsidRPr="00531640">
        <w:rPr>
          <w:rFonts w:ascii="Aptos Narrow" w:eastAsia="Alegreya" w:hAnsi="Aptos Narrow" w:cs="Alegreya"/>
        </w:rPr>
        <w:t xml:space="preserve">Overparenting often includes parents “jumping in” at the first sign of difficulty and rescuing their children from harm or discomfort. Despite </w:t>
      </w:r>
      <w:r w:rsidR="00676EA2">
        <w:rPr>
          <w:rFonts w:ascii="Aptos Narrow" w:eastAsia="Alegreya" w:hAnsi="Aptos Narrow" w:cs="Alegreya"/>
        </w:rPr>
        <w:t>good intentions</w:t>
      </w:r>
      <w:r w:rsidRPr="00531640">
        <w:rPr>
          <w:rFonts w:ascii="Aptos Narrow" w:eastAsia="Alegreya" w:hAnsi="Aptos Narrow" w:cs="Alegreya"/>
        </w:rPr>
        <w:t xml:space="preserve"> overparenting can lead to more difficulties over time. A review by Urone et al. (2024) found that emerging adults who were overparented </w:t>
      </w:r>
      <w:r w:rsidR="00EE7C1A" w:rsidRPr="00531640">
        <w:rPr>
          <w:rFonts w:ascii="Aptos Narrow" w:eastAsia="Alegreya" w:hAnsi="Aptos Narrow" w:cs="Alegreya"/>
        </w:rPr>
        <w:t>are significantly</w:t>
      </w:r>
      <w:r w:rsidRPr="00531640">
        <w:rPr>
          <w:rFonts w:ascii="Aptos Narrow" w:eastAsia="Alegreya" w:hAnsi="Aptos Narrow" w:cs="Alegreya"/>
        </w:rPr>
        <w:t xml:space="preserve"> more likely to</w:t>
      </w:r>
      <w:r w:rsidR="00111E2F">
        <w:rPr>
          <w:rFonts w:ascii="Aptos Narrow" w:eastAsia="Alegreya" w:hAnsi="Aptos Narrow" w:cs="Alegreya"/>
        </w:rPr>
        <w:t xml:space="preserve"> suffer from </w:t>
      </w:r>
      <w:r w:rsidRPr="00531640">
        <w:rPr>
          <w:rFonts w:ascii="Aptos Narrow" w:eastAsia="Alegreya" w:hAnsi="Aptos Narrow" w:cs="Alegreya"/>
        </w:rPr>
        <w:t xml:space="preserve">internalising symptoms (depression, anxiety, low self-esteem), have lower levels of life satisfaction, experience behavioural and relational difficulties, have poor interpersonal and social skills, struggle with school adjustment, be more dependent, and display less autonomy. The authors note </w:t>
      </w:r>
      <w:r w:rsidR="00111E2F">
        <w:rPr>
          <w:rFonts w:ascii="Aptos Narrow" w:eastAsia="Alegreya" w:hAnsi="Aptos Narrow" w:cs="Alegreya"/>
        </w:rPr>
        <w:t xml:space="preserve">that the </w:t>
      </w:r>
      <w:r w:rsidRPr="00531640">
        <w:rPr>
          <w:rFonts w:ascii="Aptos Narrow" w:eastAsia="Alegreya" w:hAnsi="Aptos Narrow" w:cs="Alegreya"/>
        </w:rPr>
        <w:t>outcomes associated with overparenting</w:t>
      </w:r>
      <w:r w:rsidR="00111E2F">
        <w:rPr>
          <w:rFonts w:ascii="Aptos Narrow" w:eastAsia="Alegreya" w:hAnsi="Aptos Narrow" w:cs="Alegreya"/>
        </w:rPr>
        <w:t xml:space="preserve"> can be </w:t>
      </w:r>
      <w:r w:rsidR="00111E2F" w:rsidRPr="00531640">
        <w:rPr>
          <w:rFonts w:ascii="Aptos Narrow" w:eastAsia="Alegreya" w:hAnsi="Aptos Narrow" w:cs="Alegreya"/>
        </w:rPr>
        <w:t>considered</w:t>
      </w:r>
      <w:r w:rsidRPr="00531640">
        <w:rPr>
          <w:rFonts w:ascii="Aptos Narrow" w:eastAsia="Alegreya" w:hAnsi="Aptos Narrow" w:cs="Alegreya"/>
        </w:rPr>
        <w:t xml:space="preserve"> the same as authoritarian parenting, regardless of the likely difference in parents’ intent. While overparenting does not create</w:t>
      </w:r>
      <w:r w:rsidR="00111E2F">
        <w:rPr>
          <w:rFonts w:ascii="Aptos Narrow" w:eastAsia="Alegreya" w:hAnsi="Aptos Narrow" w:cs="Alegreya"/>
        </w:rPr>
        <w:t xml:space="preserve"> the same</w:t>
      </w:r>
      <w:r w:rsidRPr="00531640">
        <w:rPr>
          <w:rFonts w:ascii="Aptos Narrow" w:eastAsia="Alegreya" w:hAnsi="Aptos Narrow" w:cs="Alegreya"/>
        </w:rPr>
        <w:t xml:space="preserve"> negative impacts</w:t>
      </w:r>
      <w:r w:rsidR="00111E2F">
        <w:rPr>
          <w:rFonts w:ascii="Aptos Narrow" w:eastAsia="Alegreya" w:hAnsi="Aptos Narrow" w:cs="Alegreya"/>
        </w:rPr>
        <w:t xml:space="preserve"> as authoritarian parenting</w:t>
      </w:r>
      <w:r w:rsidRPr="00531640">
        <w:rPr>
          <w:rFonts w:ascii="Aptos Narrow" w:eastAsia="Alegreya" w:hAnsi="Aptos Narrow" w:cs="Alegreya"/>
        </w:rPr>
        <w:t xml:space="preserve">, </w:t>
      </w:r>
      <w:r w:rsidR="00111E2F">
        <w:rPr>
          <w:rFonts w:ascii="Aptos Narrow" w:eastAsia="Alegreya" w:hAnsi="Aptos Narrow" w:cs="Alegreya"/>
        </w:rPr>
        <w:t xml:space="preserve">it </w:t>
      </w:r>
      <w:r w:rsidRPr="00531640">
        <w:rPr>
          <w:rFonts w:ascii="Aptos Narrow" w:eastAsia="Alegreya" w:hAnsi="Aptos Narrow" w:cs="Alegreya"/>
        </w:rPr>
        <w:t xml:space="preserve">can prevent the development of strengths that facilitate long-term wellbeing and overall life satisfaction (Urone, 2024). </w:t>
      </w:r>
    </w:p>
    <w:p w14:paraId="00000017" w14:textId="77777777" w:rsidR="00AD7388" w:rsidRPr="00531640" w:rsidRDefault="00AD7388">
      <w:pPr>
        <w:spacing w:after="0"/>
        <w:rPr>
          <w:rFonts w:ascii="Aptos Narrow" w:eastAsia="Alegreya" w:hAnsi="Aptos Narrow" w:cs="Alegreya"/>
        </w:rPr>
      </w:pPr>
    </w:p>
    <w:p w14:paraId="00000018" w14:textId="1595A520"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An overprotective parenting style can interfere with </w:t>
      </w:r>
      <w:r w:rsidR="00C81B65">
        <w:rPr>
          <w:rFonts w:ascii="Aptos Narrow" w:eastAsia="Alegreya" w:hAnsi="Aptos Narrow" w:cs="Alegreya"/>
        </w:rPr>
        <w:t>the achievement of developmental milestones.</w:t>
      </w:r>
      <w:r w:rsidRPr="00531640">
        <w:rPr>
          <w:rFonts w:ascii="Aptos Narrow" w:eastAsia="Alegreya" w:hAnsi="Aptos Narrow" w:cs="Alegreya"/>
        </w:rPr>
        <w:t xml:space="preserve"> Developmental psychologist Erik Erikson’s (1963) stages of psychosocial development indicate that during school age, or from age seven to eleven, the primary challenge that children must overcome is that of “industry versus inferiority.” In this stage, children develop self-trust and confidence </w:t>
      </w:r>
      <w:r w:rsidR="006D1C69">
        <w:rPr>
          <w:rFonts w:ascii="Aptos Narrow" w:eastAsia="Alegreya" w:hAnsi="Aptos Narrow" w:cs="Alegreya"/>
        </w:rPr>
        <w:t>if enabled to</w:t>
      </w:r>
      <w:r w:rsidRPr="00531640">
        <w:rPr>
          <w:rFonts w:ascii="Aptos Narrow" w:eastAsia="Alegreya" w:hAnsi="Aptos Narrow" w:cs="Alegreya"/>
        </w:rPr>
        <w:t xml:space="preserve"> become competent in their abilities. If they are not able to gain this competence, they gain a sense of inferiority that can negatively impact them through t</w:t>
      </w:r>
      <w:r w:rsidRPr="00531640">
        <w:rPr>
          <w:rFonts w:ascii="Aptos Narrow" w:eastAsia="Alegreya" w:hAnsi="Aptos Narrow" w:cs="Alegreya"/>
        </w:rPr>
        <w:t xml:space="preserve">he next stages of their development. From age twelve to eighteen, or the adolescence stage, the problem needing to be resolved is “identity versus role confusion.” This is a time when adolescents are trying to </w:t>
      </w:r>
      <w:r w:rsidR="00A208DD">
        <w:rPr>
          <w:rFonts w:ascii="Aptos Narrow" w:eastAsia="Alegreya" w:hAnsi="Aptos Narrow" w:cs="Alegreya"/>
        </w:rPr>
        <w:t xml:space="preserve">establish </w:t>
      </w:r>
      <w:r w:rsidRPr="00531640">
        <w:rPr>
          <w:rFonts w:ascii="Aptos Narrow" w:eastAsia="Alegreya" w:hAnsi="Aptos Narrow" w:cs="Alegreya"/>
        </w:rPr>
        <w:t xml:space="preserve">their identity </w:t>
      </w:r>
      <w:r w:rsidR="00A208DD">
        <w:rPr>
          <w:rFonts w:ascii="Aptos Narrow" w:eastAsia="Alegreya" w:hAnsi="Aptos Narrow" w:cs="Alegreya"/>
        </w:rPr>
        <w:t>within</w:t>
      </w:r>
      <w:r w:rsidRPr="00531640">
        <w:rPr>
          <w:rFonts w:ascii="Aptos Narrow" w:eastAsia="Alegreya" w:hAnsi="Aptos Narrow" w:cs="Alegreya"/>
        </w:rPr>
        <w:t xml:space="preserve"> their social environment. </w:t>
      </w:r>
      <w:r w:rsidR="00D75C06">
        <w:rPr>
          <w:rFonts w:ascii="Aptos Narrow" w:eastAsia="Alegreya" w:hAnsi="Aptos Narrow" w:cs="Alegreya"/>
        </w:rPr>
        <w:t>C</w:t>
      </w:r>
      <w:r w:rsidRPr="00531640">
        <w:rPr>
          <w:rFonts w:ascii="Aptos Narrow" w:eastAsia="Alegreya" w:hAnsi="Aptos Narrow" w:cs="Alegreya"/>
        </w:rPr>
        <w:t xml:space="preserve">hildren </w:t>
      </w:r>
      <w:r w:rsidR="00D75C06">
        <w:rPr>
          <w:rFonts w:ascii="Aptos Narrow" w:eastAsia="Alegreya" w:hAnsi="Aptos Narrow" w:cs="Alegreya"/>
        </w:rPr>
        <w:t xml:space="preserve">also </w:t>
      </w:r>
      <w:r w:rsidRPr="00531640">
        <w:rPr>
          <w:rFonts w:ascii="Aptos Narrow" w:eastAsia="Alegreya" w:hAnsi="Aptos Narrow" w:cs="Alegreya"/>
        </w:rPr>
        <w:t xml:space="preserve">start to become more independent from their parents or caregivers as they prepare for adulthood. Finally, once the adolescent has resolved this stage, they </w:t>
      </w:r>
      <w:r w:rsidR="00D75C06">
        <w:rPr>
          <w:rFonts w:ascii="Aptos Narrow" w:eastAsia="Alegreya" w:hAnsi="Aptos Narrow" w:cs="Alegreya"/>
        </w:rPr>
        <w:t>transition t</w:t>
      </w:r>
      <w:r w:rsidRPr="00531640">
        <w:rPr>
          <w:rFonts w:ascii="Aptos Narrow" w:eastAsia="Alegreya" w:hAnsi="Aptos Narrow" w:cs="Alegreya"/>
        </w:rPr>
        <w:t xml:space="preserve">o “intimacy versus isolation” in young adulthood, ideally </w:t>
      </w:r>
      <w:r w:rsidR="00394363">
        <w:rPr>
          <w:rFonts w:ascii="Aptos Narrow" w:eastAsia="Alegreya" w:hAnsi="Aptos Narrow" w:cs="Alegreya"/>
        </w:rPr>
        <w:t>forming more intimate relationships with others</w:t>
      </w:r>
      <w:r w:rsidRPr="00531640">
        <w:rPr>
          <w:rFonts w:ascii="Aptos Narrow" w:eastAsia="Alegreya" w:hAnsi="Aptos Narrow" w:cs="Alegreya"/>
        </w:rPr>
        <w:t xml:space="preserve">. </w:t>
      </w:r>
    </w:p>
    <w:p w14:paraId="00000019" w14:textId="77777777" w:rsidR="00AD7388" w:rsidRPr="00531640" w:rsidRDefault="00AD7388">
      <w:pPr>
        <w:spacing w:after="0"/>
        <w:rPr>
          <w:rFonts w:ascii="Aptos Narrow" w:eastAsia="Alegreya" w:hAnsi="Aptos Narrow" w:cs="Alegreya"/>
        </w:rPr>
      </w:pPr>
    </w:p>
    <w:p w14:paraId="0000001A" w14:textId="210FC52C" w:rsidR="00AD7388" w:rsidRPr="00531640" w:rsidRDefault="00F07299">
      <w:pPr>
        <w:spacing w:after="0"/>
        <w:rPr>
          <w:rFonts w:ascii="Aptos Narrow" w:eastAsia="Alegreya" w:hAnsi="Aptos Narrow" w:cs="Alegreya"/>
        </w:rPr>
      </w:pPr>
      <w:r>
        <w:rPr>
          <w:rFonts w:ascii="Aptos Narrow" w:eastAsia="Alegreya" w:hAnsi="Aptos Narrow" w:cs="Alegreya"/>
        </w:rPr>
        <w:t xml:space="preserve">While Erikson’s stages are far from an all-encompassing explanation of development, they provide a useful framework for considering how parenting practices may lead to difficulties throughout the lifespan </w:t>
      </w:r>
      <w:r>
        <w:rPr>
          <w:rFonts w:ascii="Aptos Narrow" w:eastAsia="Alegreya" w:hAnsi="Aptos Narrow" w:cs="Alegreya"/>
          <w:i/>
          <w:iCs/>
        </w:rPr>
        <w:t>if</w:t>
      </w:r>
      <w:r>
        <w:rPr>
          <w:rFonts w:ascii="Aptos Narrow" w:eastAsia="Alegreya" w:hAnsi="Aptos Narrow" w:cs="Alegreya"/>
        </w:rPr>
        <w:t xml:space="preserve"> they interfere with central developmental tasks. For instance, if during school age a parent attempts to remove all risk or potential for failure from a child’s life, that child loses the opportunity to practice problem-solving independently, reducing confidence in their ability that they can manage problems themselves</w:t>
      </w:r>
      <w:r w:rsidRPr="00531640">
        <w:rPr>
          <w:rFonts w:ascii="Aptos Narrow" w:eastAsia="Alegreya" w:hAnsi="Aptos Narrow" w:cs="Alegreya"/>
        </w:rPr>
        <w:t xml:space="preserve"> (Haidt, 2024). Then, if in adolescence that child is restricted from socialising and </w:t>
      </w:r>
      <w:r w:rsidR="008F6AD2">
        <w:rPr>
          <w:rFonts w:ascii="Aptos Narrow" w:eastAsia="Alegreya" w:hAnsi="Aptos Narrow" w:cs="Alegreya"/>
        </w:rPr>
        <w:t xml:space="preserve">unable to </w:t>
      </w:r>
      <w:r w:rsidRPr="00531640">
        <w:rPr>
          <w:rFonts w:ascii="Aptos Narrow" w:eastAsia="Alegreya" w:hAnsi="Aptos Narrow" w:cs="Alegreya"/>
        </w:rPr>
        <w:t xml:space="preserve">“try out” different identities, manage peer influences, and develop a clear sense of themselves </w:t>
      </w:r>
      <w:r w:rsidRPr="00531640">
        <w:rPr>
          <w:rFonts w:ascii="Aptos Narrow" w:eastAsia="Alegreya" w:hAnsi="Aptos Narrow" w:cs="Alegreya"/>
        </w:rPr>
        <w:lastRenderedPageBreak/>
        <w:t xml:space="preserve">as separate from others, they may have trouble in adulthood with decision-making and boundary setting when it comes to interpersonal relationships. Research shows that how adolescents manage the challenge of connecting with peers while maintaining their autonomy in the face of peer influence is related to how they are parented by adults (Allen &amp; Loeb, 2015). </w:t>
      </w:r>
      <w:r w:rsidRPr="005261B2">
        <w:rPr>
          <w:rFonts w:ascii="Aptos Narrow" w:eastAsia="Alegreya" w:hAnsi="Aptos Narrow" w:cs="Alegreya"/>
        </w:rPr>
        <w:t>If they are not supported to experience and overcome this challenge, rather than entering young adulthood able to form deep relationships based on authenticity and shared values, the young person who does not overcome the problem of the adolescence stage may be more susceptible to being influenced or manipulated by others when trying to establish close relationships.</w:t>
      </w:r>
      <w:r w:rsidRPr="00531640">
        <w:rPr>
          <w:rFonts w:ascii="Aptos Narrow" w:eastAsia="Alegreya" w:hAnsi="Aptos Narrow" w:cs="Alegreya"/>
        </w:rPr>
        <w:t xml:space="preserve"> </w:t>
      </w:r>
    </w:p>
    <w:p w14:paraId="0000001B" w14:textId="77777777" w:rsidR="00AD7388" w:rsidRPr="00531640" w:rsidRDefault="00AD7388">
      <w:pPr>
        <w:spacing w:after="0"/>
        <w:rPr>
          <w:rFonts w:ascii="Aptos Narrow" w:eastAsia="Alegreya" w:hAnsi="Aptos Narrow" w:cs="Alegreya"/>
        </w:rPr>
      </w:pPr>
    </w:p>
    <w:p w14:paraId="0000001C" w14:textId="3E53B17B"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Controlling parenting styles have been found to have a range of negative impacts on children and adolescents in the present and over time. In young children aged </w:t>
      </w:r>
      <w:r w:rsidR="00D32458">
        <w:rPr>
          <w:rFonts w:ascii="Aptos Narrow" w:eastAsia="Alegreya" w:hAnsi="Aptos Narrow" w:cs="Alegreya"/>
        </w:rPr>
        <w:t>three to six</w:t>
      </w:r>
      <w:r w:rsidRPr="00531640">
        <w:rPr>
          <w:rFonts w:ascii="Aptos Narrow" w:eastAsia="Alegreya" w:hAnsi="Aptos Narrow" w:cs="Alegreya"/>
        </w:rPr>
        <w:t xml:space="preserve">, authoritarian parenting has been linked to inhibited competence in peer interactions, as the constant demands on a child’s behaviour reinforces negative parent-child interactions that can affect how the child responds in peer interactions (Li et al., 2024). Inversely, in adolescence, positive parenting characteristics have been associated with higher peer relationship satisfaction while the inverse is true for negative parenting styles (Zhou et al., 2025). Facilitative parenting, or parenting </w:t>
      </w:r>
      <w:r w:rsidRPr="00531640">
        <w:rPr>
          <w:rFonts w:ascii="Aptos Narrow" w:eastAsia="Alegreya" w:hAnsi="Aptos Narrow" w:cs="Alegreya"/>
        </w:rPr>
        <w:t xml:space="preserve">which actively supports children’s development of social skills and relationships with peers, has been linked with reduced chance of a child being bullied (Healy et al., 2015). The study authors noted that this may be due to facilitative parents offering warmth and responsiveness, encouraging independence rather than being overprotective, supporting children’s friendships, and assisting with the development of problem-solving skills. </w:t>
      </w:r>
    </w:p>
    <w:p w14:paraId="0000001E" w14:textId="0CFCF13D" w:rsidR="00AD7388" w:rsidRPr="00531640" w:rsidRDefault="00AD7388">
      <w:pPr>
        <w:spacing w:after="0"/>
        <w:rPr>
          <w:rFonts w:ascii="Aptos Narrow" w:eastAsia="Alegreya" w:hAnsi="Aptos Narrow" w:cs="Alegreya"/>
        </w:rPr>
      </w:pPr>
    </w:p>
    <w:p w14:paraId="0000001F" w14:textId="77777777" w:rsidR="00AD7388" w:rsidRPr="00531640" w:rsidRDefault="00AD7388">
      <w:pPr>
        <w:spacing w:after="0"/>
        <w:rPr>
          <w:rFonts w:ascii="Aptos Narrow" w:eastAsia="Alegreya" w:hAnsi="Aptos Narrow" w:cs="Alegreya"/>
        </w:rPr>
      </w:pPr>
    </w:p>
    <w:p w14:paraId="00000020" w14:textId="77777777" w:rsidR="00AD7388" w:rsidRPr="00531640" w:rsidRDefault="00B83410">
      <w:pPr>
        <w:spacing w:after="0"/>
        <w:rPr>
          <w:rFonts w:ascii="Aptos Narrow" w:eastAsia="Alegreya" w:hAnsi="Aptos Narrow" w:cs="Alegreya"/>
          <w:u w:val="single"/>
        </w:rPr>
      </w:pPr>
      <w:r w:rsidRPr="00531640">
        <w:rPr>
          <w:rFonts w:ascii="Aptos Narrow" w:eastAsia="Alegreya" w:hAnsi="Aptos Narrow" w:cs="Alegreya"/>
          <w:u w:val="single"/>
        </w:rPr>
        <w:t>Developmental Role of Friendships</w:t>
      </w:r>
    </w:p>
    <w:p w14:paraId="00000023" w14:textId="77777777" w:rsidR="00AD7388" w:rsidRPr="00531640" w:rsidRDefault="00AD7388">
      <w:pPr>
        <w:spacing w:after="0"/>
        <w:rPr>
          <w:rFonts w:ascii="Aptos Narrow" w:eastAsia="Alegreya" w:hAnsi="Aptos Narrow" w:cs="Alegreya"/>
        </w:rPr>
      </w:pPr>
    </w:p>
    <w:p w14:paraId="00000024" w14:textId="3F43F9FB"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Friendships become a priority for young people and their development during adolescence (Gorrese &amp; Ruggieri, 2012: Vitaro et al., 2009). Adolescent friendships may be seen as intense, but this intensity exists because of friendships’ importance </w:t>
      </w:r>
      <w:r w:rsidR="00BF7B90">
        <w:rPr>
          <w:rFonts w:ascii="Aptos Narrow" w:eastAsia="Alegreya" w:hAnsi="Aptos Narrow" w:cs="Alegreya"/>
        </w:rPr>
        <w:t xml:space="preserve">to </w:t>
      </w:r>
      <w:r w:rsidRPr="00531640">
        <w:rPr>
          <w:rFonts w:ascii="Aptos Narrow" w:eastAsia="Alegreya" w:hAnsi="Aptos Narrow" w:cs="Alegreya"/>
        </w:rPr>
        <w:t>functioning in adulthood, including positive mental and physical health outcomes (Allen, 2024). The full range of psychosocial outcomes associated with adolescent friendships is beyond the scope of this paper, so I will rather focus on the outcomes that are most closely related to having stronger social networks in adulthood, as this is shown to have positive implications on the life trajectories of young people after leaving care (Gairal-Casado et al., 2022; Guinchard, 2024; Haggman-Laitila &amp; Salokekkia</w:t>
      </w:r>
      <w:r w:rsidRPr="00531640">
        <w:rPr>
          <w:rFonts w:ascii="Aptos Narrow" w:eastAsia="Alegreya" w:hAnsi="Aptos Narrow" w:cs="Alegreya"/>
        </w:rPr>
        <w:t xml:space="preserve">, 2019; Mendes et al., 2022; Pote et al., 2022; Raymaekers et al., 2025; Roesch-Marsch &amp; Emond, 2022; Teer, 2021). </w:t>
      </w:r>
    </w:p>
    <w:p w14:paraId="00000025" w14:textId="77777777" w:rsidR="00AD7388" w:rsidRDefault="00AD7388">
      <w:pPr>
        <w:spacing w:after="0"/>
        <w:rPr>
          <w:rFonts w:ascii="Aptos Narrow" w:eastAsia="Alegreya" w:hAnsi="Aptos Narrow" w:cs="Alegreya"/>
        </w:rPr>
      </w:pPr>
    </w:p>
    <w:p w14:paraId="45324676" w14:textId="7FDBAC85" w:rsidR="009E67EC" w:rsidRDefault="009E67EC">
      <w:pPr>
        <w:spacing w:after="0"/>
        <w:rPr>
          <w:rFonts w:ascii="Aptos Narrow" w:eastAsia="Alegreya" w:hAnsi="Aptos Narrow" w:cs="Alegreya"/>
        </w:rPr>
      </w:pPr>
      <w:r w:rsidRPr="00531640">
        <w:rPr>
          <w:rFonts w:ascii="Aptos Narrow" w:eastAsia="Alegreya" w:hAnsi="Aptos Narrow" w:cs="Alegreya"/>
          <w:i/>
        </w:rPr>
        <w:t>Social-Emotional Development</w:t>
      </w:r>
    </w:p>
    <w:p w14:paraId="29571246" w14:textId="77777777" w:rsidR="009E67EC" w:rsidRPr="00531640" w:rsidRDefault="009E67EC">
      <w:pPr>
        <w:spacing w:after="0"/>
        <w:rPr>
          <w:rFonts w:ascii="Aptos Narrow" w:eastAsia="Alegreya" w:hAnsi="Aptos Narrow" w:cs="Alegreya"/>
        </w:rPr>
      </w:pPr>
    </w:p>
    <w:p w14:paraId="00000026" w14:textId="3D663AD7" w:rsidR="00AD7388" w:rsidRPr="00531640" w:rsidRDefault="00B83410">
      <w:pPr>
        <w:spacing w:after="0"/>
        <w:rPr>
          <w:rFonts w:ascii="Aptos Narrow" w:eastAsia="Alegreya" w:hAnsi="Aptos Narrow" w:cs="Alegreya"/>
        </w:rPr>
      </w:pPr>
      <w:r w:rsidRPr="00531640">
        <w:rPr>
          <w:rFonts w:ascii="Aptos Narrow" w:eastAsia="Alegreya" w:hAnsi="Aptos Narrow" w:cs="Alegreya"/>
        </w:rPr>
        <w:t>Through intimate platonic relationships</w:t>
      </w:r>
      <w:r w:rsidR="009E67EC">
        <w:rPr>
          <w:rFonts w:ascii="Aptos Narrow" w:eastAsia="Alegreya" w:hAnsi="Aptos Narrow" w:cs="Alegreya"/>
        </w:rPr>
        <w:t xml:space="preserve"> – whether platonic, romantic, or familial – </w:t>
      </w:r>
      <w:r w:rsidRPr="00531640">
        <w:rPr>
          <w:rFonts w:ascii="Aptos Narrow" w:eastAsia="Alegreya" w:hAnsi="Aptos Narrow" w:cs="Alegreya"/>
        </w:rPr>
        <w:t>we</w:t>
      </w:r>
      <w:r w:rsidR="009E67EC">
        <w:rPr>
          <w:rFonts w:ascii="Aptos Narrow" w:eastAsia="Alegreya" w:hAnsi="Aptos Narrow" w:cs="Alegreya"/>
        </w:rPr>
        <w:t xml:space="preserve"> </w:t>
      </w:r>
      <w:r w:rsidRPr="00531640">
        <w:rPr>
          <w:rFonts w:ascii="Aptos Narrow" w:eastAsia="Alegreya" w:hAnsi="Aptos Narrow" w:cs="Alegreya"/>
        </w:rPr>
        <w:t xml:space="preserve">learn how to care and be cared for. Close relationships in adolescence allow for the development of empathy, caregiving competence, and support-seeking, all of which translate to stronger relationships in adulthood (Allen et al., 2023). </w:t>
      </w:r>
      <w:r w:rsidR="00026115">
        <w:rPr>
          <w:rFonts w:ascii="Aptos Narrow" w:eastAsia="Alegreya" w:hAnsi="Aptos Narrow" w:cs="Alegreya"/>
        </w:rPr>
        <w:t>CYP’s friendships</w:t>
      </w:r>
      <w:r w:rsidRPr="00531640">
        <w:rPr>
          <w:rFonts w:ascii="Aptos Narrow" w:eastAsia="Alegreya" w:hAnsi="Aptos Narrow" w:cs="Alegreya"/>
        </w:rPr>
        <w:t xml:space="preserve"> </w:t>
      </w:r>
      <w:r w:rsidR="00965B2C">
        <w:rPr>
          <w:rFonts w:ascii="Aptos Narrow" w:eastAsia="Alegreya" w:hAnsi="Aptos Narrow" w:cs="Alegreya"/>
        </w:rPr>
        <w:t xml:space="preserve">support </w:t>
      </w:r>
      <w:r w:rsidRPr="00531640">
        <w:rPr>
          <w:rFonts w:ascii="Aptos Narrow" w:eastAsia="Alegreya" w:hAnsi="Aptos Narrow" w:cs="Alegreya"/>
        </w:rPr>
        <w:t>development of theory of mind, or the ability to understand the perspectives, beliefs, emotions, intents, and desires of others (Güroğlu, 2022; Fink, 2021). Having a strong theory of mind is crucial fo</w:t>
      </w:r>
      <w:r w:rsidRPr="00531640">
        <w:rPr>
          <w:rFonts w:ascii="Aptos Narrow" w:eastAsia="Alegreya" w:hAnsi="Aptos Narrow" w:cs="Alegreya"/>
        </w:rPr>
        <w:t xml:space="preserve">r social interactions and in turn, supports friendship quality (Li &amp; Shum, 2025). </w:t>
      </w:r>
      <w:r w:rsidR="00965B2C">
        <w:rPr>
          <w:rFonts w:ascii="Aptos Narrow" w:eastAsia="Alegreya" w:hAnsi="Aptos Narrow" w:cs="Alegreya"/>
        </w:rPr>
        <w:t xml:space="preserve">Generally, </w:t>
      </w:r>
      <w:r w:rsidRPr="00531640">
        <w:rPr>
          <w:rFonts w:ascii="Aptos Narrow" w:eastAsia="Alegreya" w:hAnsi="Aptos Narrow" w:cs="Alegreya"/>
        </w:rPr>
        <w:t>during adolescence young people gain the necessary social skills and social-emotional competencies to succeed throughout their lifespan (Eisenman et al., 2020), even when assessed up to two decades later (Allemand et al., 2014). In fact, adolescent close friendships are significantly more predictive of adult relational outcomes, work performance, and internalising symptoms than the parent-teen relationship (Allen et</w:t>
      </w:r>
      <w:r w:rsidRPr="00531640">
        <w:rPr>
          <w:rFonts w:ascii="Aptos Narrow" w:eastAsia="Alegreya" w:hAnsi="Aptos Narrow" w:cs="Alegreya"/>
        </w:rPr>
        <w:t xml:space="preserve"> al., 2022).</w:t>
      </w:r>
    </w:p>
    <w:p w14:paraId="00000027" w14:textId="77777777" w:rsidR="00AD7388" w:rsidRPr="00531640" w:rsidRDefault="00AD7388">
      <w:pPr>
        <w:spacing w:after="0"/>
        <w:rPr>
          <w:rFonts w:ascii="Aptos Narrow" w:eastAsia="Alegreya" w:hAnsi="Aptos Narrow" w:cs="Alegreya"/>
        </w:rPr>
      </w:pPr>
    </w:p>
    <w:p w14:paraId="00000028" w14:textId="396ED89D" w:rsidR="00AD7388" w:rsidRPr="00531640" w:rsidRDefault="00BF2329">
      <w:pPr>
        <w:spacing w:after="0"/>
        <w:rPr>
          <w:rFonts w:ascii="Aptos Narrow" w:eastAsia="Alegreya" w:hAnsi="Aptos Narrow" w:cs="Alegreya"/>
        </w:rPr>
      </w:pPr>
      <w:r>
        <w:rPr>
          <w:rFonts w:ascii="Aptos Narrow" w:eastAsia="Alegreya" w:hAnsi="Aptos Narrow" w:cs="Alegreya"/>
        </w:rPr>
        <w:t xml:space="preserve">Reciprocal relationships carry </w:t>
      </w:r>
      <w:r w:rsidRPr="00531640">
        <w:rPr>
          <w:rFonts w:ascii="Aptos Narrow" w:eastAsia="Alegreya" w:hAnsi="Aptos Narrow" w:cs="Alegreya"/>
        </w:rPr>
        <w:t xml:space="preserve">an element of </w:t>
      </w:r>
      <w:r w:rsidRPr="00531640">
        <w:rPr>
          <w:rFonts w:ascii="Aptos Narrow" w:eastAsia="Alegreya" w:hAnsi="Aptos Narrow" w:cs="Alegreya"/>
          <w:i/>
        </w:rPr>
        <w:t>risk</w:t>
      </w:r>
      <w:r w:rsidRPr="00531640">
        <w:rPr>
          <w:rFonts w:ascii="Aptos Narrow" w:eastAsia="Alegreya" w:hAnsi="Aptos Narrow" w:cs="Alegreya"/>
        </w:rPr>
        <w:t xml:space="preserve"> (Sullivan &amp; Niker, 2025). Friends will often act for the wellbeing of another without being asked, facilitated by a shared understanding of the other and what they might need. </w:t>
      </w:r>
      <w:r w:rsidR="00394189">
        <w:rPr>
          <w:rFonts w:ascii="Aptos Narrow" w:eastAsia="Alegreya" w:hAnsi="Aptos Narrow" w:cs="Alegreya"/>
        </w:rPr>
        <w:t>Thus, mistakes</w:t>
      </w:r>
      <w:r w:rsidR="008E05E3">
        <w:rPr>
          <w:rFonts w:ascii="Aptos Narrow" w:eastAsia="Alegreya" w:hAnsi="Aptos Narrow" w:cs="Alegreya"/>
        </w:rPr>
        <w:t xml:space="preserve"> can</w:t>
      </w:r>
      <w:r w:rsidRPr="00531640">
        <w:rPr>
          <w:rFonts w:ascii="Aptos Narrow" w:eastAsia="Alegreya" w:hAnsi="Aptos Narrow" w:cs="Alegreya"/>
        </w:rPr>
        <w:t xml:space="preserve"> be made if a friend incorrectly judges what the other needs. Such situations provide valuable opportunities for learning both how to manage one’s own vulnerability and that of the other in the relationship. It is also important that young people learn how to attune to others and meet their needs while, on the other hand, trusting others enough to let them act on </w:t>
      </w:r>
      <w:r w:rsidRPr="00531640">
        <w:rPr>
          <w:rFonts w:ascii="Aptos Narrow" w:eastAsia="Alegreya" w:hAnsi="Aptos Narrow" w:cs="Alegreya"/>
          <w:i/>
        </w:rPr>
        <w:t>their</w:t>
      </w:r>
      <w:r w:rsidRPr="00531640">
        <w:rPr>
          <w:rFonts w:ascii="Aptos Narrow" w:eastAsia="Alegreya" w:hAnsi="Aptos Narrow" w:cs="Alegreya"/>
        </w:rPr>
        <w:t xml:space="preserve"> behalf when done with the intent to support wellbeing and autonomy (Sullivan &amp; Niker, 2025). Finally, through rupture and repair in friendships – both minor and severe – one learns to continuously negotiate the boundaries and expectations within relationships, as well as what types of ruptures are repairable and which warrant ending the relationship. Throughout late childhood and early adolescence, young people are constantly navigating the concepts of </w:t>
      </w:r>
      <w:r w:rsidRPr="00531640">
        <w:rPr>
          <w:rFonts w:ascii="Aptos Narrow" w:eastAsia="Alegreya" w:hAnsi="Aptos Narrow" w:cs="Alegreya"/>
        </w:rPr>
        <w:lastRenderedPageBreak/>
        <w:t xml:space="preserve">intimate disclosure, trust, and support, all of which are criteria we base our judgements of relationships on for the remainder of our lives (Galván et al., 2025). Thus, ample exposure to friendships and the ups and downs of forming and maintaining close relationships during childhood and adolescence provides essential relational training for adulthood. Further, through the often volatile nature of childhood and adolescent friendships, young people build relational resilience. </w:t>
      </w:r>
    </w:p>
    <w:p w14:paraId="00000029" w14:textId="77777777" w:rsidR="00AD7388" w:rsidRPr="00531640" w:rsidRDefault="00AD7388">
      <w:pPr>
        <w:spacing w:after="0"/>
        <w:rPr>
          <w:rFonts w:ascii="Aptos Narrow" w:eastAsia="Alegreya" w:hAnsi="Aptos Narrow" w:cs="Alegreya"/>
        </w:rPr>
      </w:pPr>
    </w:p>
    <w:p w14:paraId="0000002A"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rPr>
        <w:tab/>
        <w:t xml:space="preserve">“The friend who was harmed must not close themselves off to their friend’s attempts at care. They </w:t>
      </w:r>
    </w:p>
    <w:p w14:paraId="0000002B" w14:textId="77777777" w:rsidR="00AD7388" w:rsidRPr="00531640" w:rsidRDefault="00B83410">
      <w:pPr>
        <w:spacing w:after="0"/>
        <w:ind w:firstLine="720"/>
        <w:rPr>
          <w:rFonts w:ascii="Aptos Narrow" w:eastAsia="Alegreya" w:hAnsi="Aptos Narrow" w:cs="Alegreya"/>
        </w:rPr>
      </w:pPr>
      <w:r w:rsidRPr="00531640">
        <w:rPr>
          <w:rFonts w:ascii="Aptos Narrow" w:eastAsia="Alegreya" w:hAnsi="Aptos Narrow" w:cs="Alegreya"/>
        </w:rPr>
        <w:t xml:space="preserve">may need to exhibit a greater willingness to be vulnerable - to allow other people to enter the </w:t>
      </w:r>
    </w:p>
    <w:p w14:paraId="0000002C" w14:textId="77777777" w:rsidR="00AD7388" w:rsidRPr="00531640" w:rsidRDefault="00B83410">
      <w:pPr>
        <w:spacing w:after="0"/>
        <w:ind w:firstLine="720"/>
        <w:rPr>
          <w:rFonts w:ascii="Aptos Narrow" w:eastAsia="Alegreya" w:hAnsi="Aptos Narrow" w:cs="Alegreya"/>
        </w:rPr>
      </w:pPr>
      <w:r w:rsidRPr="00531640">
        <w:rPr>
          <w:rFonts w:ascii="Aptos Narrow" w:eastAsia="Alegreya" w:hAnsi="Aptos Narrow" w:cs="Alegreya"/>
        </w:rPr>
        <w:t>intimate sphere of interpersonal life in which harm is possible.” - Sullivan &amp; Niker, 2025</w:t>
      </w:r>
    </w:p>
    <w:p w14:paraId="0000002D" w14:textId="77777777" w:rsidR="00AD7388" w:rsidRPr="00531640" w:rsidRDefault="00AD7388">
      <w:pPr>
        <w:spacing w:after="0"/>
        <w:rPr>
          <w:rFonts w:ascii="Aptos Narrow" w:eastAsia="Alegreya" w:hAnsi="Aptos Narrow" w:cs="Alegreya"/>
        </w:rPr>
      </w:pPr>
    </w:p>
    <w:p w14:paraId="0000002E"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Friends and peers also play a major role in identity development in adolescence and young adulthood. The process of identity formation can be split into two processes: exploration and commitment (Marcia, 1966). Across multiple domains including career, relationships, religion, and politics, individuals </w:t>
      </w:r>
      <w:r w:rsidRPr="00531640">
        <w:rPr>
          <w:rFonts w:ascii="Aptos Narrow" w:eastAsia="Alegreya" w:hAnsi="Aptos Narrow" w:cs="Alegreya"/>
          <w:i/>
        </w:rPr>
        <w:t>explore</w:t>
      </w:r>
      <w:r w:rsidRPr="00531640">
        <w:rPr>
          <w:rFonts w:ascii="Aptos Narrow" w:eastAsia="Alegreya" w:hAnsi="Aptos Narrow" w:cs="Alegreya"/>
        </w:rPr>
        <w:t xml:space="preserve"> by looking for alternatives to their current states, and they </w:t>
      </w:r>
      <w:r w:rsidRPr="00531640">
        <w:rPr>
          <w:rFonts w:ascii="Aptos Narrow" w:eastAsia="Alegreya" w:hAnsi="Aptos Narrow" w:cs="Alegreya"/>
          <w:i/>
        </w:rPr>
        <w:t>commit</w:t>
      </w:r>
      <w:r w:rsidRPr="00531640">
        <w:rPr>
          <w:rFonts w:ascii="Aptos Narrow" w:eastAsia="Alegreya" w:hAnsi="Aptos Narrow" w:cs="Alegreya"/>
        </w:rPr>
        <w:t xml:space="preserve"> to the choices they have made regarding their identity. Identity formation is constantly ongoing through exploring options and either strengthening or weakening those commitments (Sugimura et al., 2022). It is also largely facilitated through conflict, either internal or interpersonal.  Sugimura et al. (2022) investigated how young people engage in identity-related exploration with each other, examining discussions about issues of learning, romantic relationships, and careers. They found that peers created</w:t>
      </w:r>
      <w:r w:rsidRPr="00531640">
        <w:rPr>
          <w:rFonts w:ascii="Aptos Narrow" w:eastAsia="Alegreya" w:hAnsi="Aptos Narrow" w:cs="Alegreya"/>
        </w:rPr>
        <w:t xml:space="preserve"> the conditions for exploration through support, open disclosure, and meta-exploration, while also encouraging the act of exploration through reflecting, suggesting ideas and alternatives, attuning, and conflict. This emphasises how in the developmental period most valuable for identity formation, friends can create the ideal conditions for such identity negotiation and solidification. Developing a stable and firm identity by the end of adolescence has positive implications for relationship quality and soci</w:t>
      </w:r>
      <w:r w:rsidRPr="00531640">
        <w:rPr>
          <w:rFonts w:ascii="Aptos Narrow" w:eastAsia="Alegreya" w:hAnsi="Aptos Narrow" w:cs="Alegreya"/>
        </w:rPr>
        <w:t xml:space="preserve">al success later in life (Branje et al., 2021). </w:t>
      </w:r>
    </w:p>
    <w:p w14:paraId="00000031" w14:textId="77777777" w:rsidR="00AD7388" w:rsidRPr="00531640" w:rsidRDefault="00AD7388">
      <w:pPr>
        <w:spacing w:after="0"/>
        <w:rPr>
          <w:rFonts w:ascii="Aptos Narrow" w:eastAsia="Alegreya" w:hAnsi="Aptos Narrow" w:cs="Alegreya"/>
        </w:rPr>
      </w:pPr>
    </w:p>
    <w:p w14:paraId="00000032" w14:textId="28DB94A5"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Finally, peer influence </w:t>
      </w:r>
      <w:r w:rsidR="00477FE6">
        <w:rPr>
          <w:rFonts w:ascii="Aptos Narrow" w:eastAsia="Alegreya" w:hAnsi="Aptos Narrow" w:cs="Alegreya"/>
        </w:rPr>
        <w:t xml:space="preserve">is not necessarily damaging and </w:t>
      </w:r>
      <w:r w:rsidRPr="00531640">
        <w:rPr>
          <w:rFonts w:ascii="Aptos Narrow" w:eastAsia="Alegreya" w:hAnsi="Aptos Narrow" w:cs="Alegreya"/>
        </w:rPr>
        <w:t xml:space="preserve">can </w:t>
      </w:r>
      <w:r w:rsidR="00477FE6">
        <w:rPr>
          <w:rFonts w:ascii="Aptos Narrow" w:eastAsia="Alegreya" w:hAnsi="Aptos Narrow" w:cs="Alegreya"/>
        </w:rPr>
        <w:t xml:space="preserve">in fact </w:t>
      </w:r>
      <w:r w:rsidRPr="00531640">
        <w:rPr>
          <w:rFonts w:ascii="Aptos Narrow" w:eastAsia="Alegreya" w:hAnsi="Aptos Narrow" w:cs="Alegreya"/>
        </w:rPr>
        <w:t>be a positive force for a young person’s social development. Social influence constitutes a form of social learning, which allows young people to more effectively make decisions in complex or uncertain situations (Ciranka &amp; van den Bos, 2021).  Such social learning is crucial from an evolutionary and developmental perspective. Learning from the behaviour of others is efficient and carries less risk than trying out every possible option by oneself (Ciranka &amp; van de</w:t>
      </w:r>
      <w:r w:rsidRPr="00531640">
        <w:rPr>
          <w:rFonts w:ascii="Aptos Narrow" w:eastAsia="Alegreya" w:hAnsi="Aptos Narrow" w:cs="Alegreya"/>
        </w:rPr>
        <w:t xml:space="preserve">n Bos, 2021; Willoughby et al., 2013). In adolescence, when young people are presented with increased novelty and required to learn to engage in the adult world, peers can create a wealth of opportunities for social learning that, despite the potential for some risk behaviours, can ultimately help equip young people with the social and experiential knowledge needed to function in adulthood. Moreover, there is evidence that peers </w:t>
      </w:r>
      <w:r w:rsidRPr="00531640">
        <w:rPr>
          <w:rFonts w:ascii="Aptos Narrow" w:eastAsia="Alegreya" w:hAnsi="Aptos Narrow" w:cs="Alegreya"/>
          <w:i/>
        </w:rPr>
        <w:t>can</w:t>
      </w:r>
      <w:r w:rsidRPr="00531640">
        <w:rPr>
          <w:rFonts w:ascii="Aptos Narrow" w:eastAsia="Alegreya" w:hAnsi="Aptos Narrow" w:cs="Alegreya"/>
        </w:rPr>
        <w:t xml:space="preserve"> influence “good” behaviours, including prosocial behaviours (van Hoorn et a</w:t>
      </w:r>
      <w:r w:rsidRPr="00531640">
        <w:rPr>
          <w:rFonts w:ascii="Aptos Narrow" w:eastAsia="Alegreya" w:hAnsi="Aptos Narrow" w:cs="Alegreya"/>
        </w:rPr>
        <w:t>l., 2014), volunteering (Choukas-Bradley et al., 2015), and activism (Assan, 2023), the latter having also been observed in the care-experienced community explicitly (Roesch-Marsch et al., 2022).</w:t>
      </w:r>
    </w:p>
    <w:p w14:paraId="00000033" w14:textId="77777777" w:rsidR="00AD7388" w:rsidRPr="00531640" w:rsidRDefault="00AD7388">
      <w:pPr>
        <w:spacing w:after="0"/>
        <w:rPr>
          <w:rFonts w:ascii="Aptos Narrow" w:eastAsia="Alegreya" w:hAnsi="Aptos Narrow" w:cs="Alegreya"/>
        </w:rPr>
      </w:pPr>
    </w:p>
    <w:p w14:paraId="4671BAC7"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i/>
          <w:iCs/>
        </w:rPr>
        <w:t>Moral Development </w:t>
      </w:r>
      <w:r w:rsidRPr="00047754">
        <w:rPr>
          <w:rFonts w:ascii="Aptos Narrow" w:eastAsia="Alegreya" w:hAnsi="Aptos Narrow" w:cs="Alegreya"/>
        </w:rPr>
        <w:t> </w:t>
      </w:r>
    </w:p>
    <w:p w14:paraId="14173AD7"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 </w:t>
      </w:r>
    </w:p>
    <w:p w14:paraId="5A38F5B6"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 xml:space="preserve">Developmental psychologist Jean Piaget (1932/1965), in his work on the stages of moral development, determined that the morality of children is self-constructed as they interact with other kids. Around the age of five or six, children learn moral principles through playing games, having arguments with other kids, and managing conflict. In late childhood and adolescence, as CYP enter what Piaget refers to as </w:t>
      </w:r>
      <w:r w:rsidRPr="00047754">
        <w:rPr>
          <w:rFonts w:ascii="Aptos Narrow" w:eastAsia="Alegreya" w:hAnsi="Aptos Narrow" w:cs="Alegreya"/>
          <w:i/>
          <w:iCs/>
        </w:rPr>
        <w:t>conventional morality,</w:t>
      </w:r>
      <w:r w:rsidRPr="00047754">
        <w:rPr>
          <w:rFonts w:ascii="Aptos Narrow" w:eastAsia="Alegreya" w:hAnsi="Aptos Narrow" w:cs="Alegreya"/>
        </w:rPr>
        <w:t xml:space="preserve"> societal norms become more important, as does the influence of interpersonal relationships. In this stage, children are most concerned with social approval and obeying social conventions. In the </w:t>
      </w:r>
      <w:r w:rsidRPr="00047754">
        <w:rPr>
          <w:rFonts w:ascii="Aptos Narrow" w:eastAsia="Alegreya" w:hAnsi="Aptos Narrow" w:cs="Alegreya"/>
          <w:i/>
          <w:iCs/>
        </w:rPr>
        <w:t>post-conventional</w:t>
      </w:r>
      <w:r w:rsidRPr="00047754">
        <w:rPr>
          <w:rFonts w:ascii="Aptos Narrow" w:eastAsia="Alegreya" w:hAnsi="Aptos Narrow" w:cs="Alegreya"/>
        </w:rPr>
        <w:t xml:space="preserve"> stage, moral thought works to balance social order with individual rights, and behaviour is driven by internal moral principles. Kohlberg (1968), who advanced Piaget’s work, found that the most “morally advanced” kids had frequent opportunities for role taking.  </w:t>
      </w:r>
    </w:p>
    <w:p w14:paraId="56373C61"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 </w:t>
      </w:r>
    </w:p>
    <w:p w14:paraId="20143958"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 xml:space="preserve">A more recent approach to conceptualising childhood morality is the Social Reasoning Development Model (Rutland et al., 2010), which posits that CYP draw from three domains to make and justify their social decisions: the moral (fairness, justice, the welfare of others), the social-conventional (etiquette and customs), and the psychological (autonomy and identity). While early in life, learning within these domains may come predominantly from adults, as children become older, friends become an equally powerful, or even more powerful, tool for social learning and value refinement. Through </w:t>
      </w:r>
      <w:r w:rsidRPr="00047754">
        <w:rPr>
          <w:rFonts w:ascii="Aptos Narrow" w:eastAsia="Alegreya" w:hAnsi="Aptos Narrow" w:cs="Alegreya"/>
        </w:rPr>
        <w:lastRenderedPageBreak/>
        <w:t>engaging with peers, young people learn group norms and how to behave in a way that is conducive to maintaining their friendships.  </w:t>
      </w:r>
    </w:p>
    <w:p w14:paraId="42E8B238"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 </w:t>
      </w:r>
    </w:p>
    <w:p w14:paraId="7409F298"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Unsurprisingly, prosocial children and adolescents are more liked by their peers (Layous et al., 2012). Spending time with friends help CYP learn concepts such as fairness and justice (moral), socially acceptable ways of being in groups (social-conventional), and balancing one’s own beliefs, needs, feelings, goals, and values with those of others (psychological). Without adequate socialisation with peers, care-experienced CYP may lack opportunities to develop and revise their moral self. A weak sense of morality and blurry self-concept can lead to susceptibility to the risk that the care sector insists on removing, including poor self-regulation, antisocial behaviour, and aggression (Hardy et al., 2014; Wang &amp; Touré-Tillery, 2024).  </w:t>
      </w:r>
    </w:p>
    <w:p w14:paraId="3CACB2C5"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 </w:t>
      </w:r>
    </w:p>
    <w:p w14:paraId="48530BA7"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i/>
          <w:iCs/>
        </w:rPr>
        <w:t>Unique Power of Peer Friendships</w:t>
      </w:r>
      <w:r w:rsidRPr="00047754">
        <w:rPr>
          <w:rFonts w:ascii="Aptos Narrow" w:eastAsia="Alegreya" w:hAnsi="Aptos Narrow" w:cs="Alegreya"/>
        </w:rPr>
        <w:t>  </w:t>
      </w:r>
    </w:p>
    <w:p w14:paraId="34F2E893"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 </w:t>
      </w:r>
    </w:p>
    <w:p w14:paraId="65D1203F"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Due to their self-selected and egalitarian nature, friendships of CYP can hardly be replaced by other types of relationships. Unlike other relationships based on biological, familial, or professional ties, friendships are almost always voluntary (Firmin et al., 2023; Sullivan &amp; Niker, 2025). Therefore, if professionals facilitate other types of “friendships” for young people in an attempt to reduce risk while replicated similar benefits – whether through relational activities with staff or voluntary befriending relationships – these will not create quite the same developmental outcomes as real, naturally occurring friendships with peers (Mendes et al., 2022).  </w:t>
      </w:r>
    </w:p>
    <w:p w14:paraId="22CF10B7"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 </w:t>
      </w:r>
    </w:p>
    <w:p w14:paraId="7CC111AC"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The fact that self-selected friendships can essentially be “opted out of” at any time forces a person to constantly reflect on their values and make decisions about who one wants to allow in their life. Peer conflict in particular affords CYP experience balancing their needs for compliance and autonomy, and the capability to do this effectively in turn improves friendship quality (Bowker, 2024). In other words, the trials and tribulations that come with finding oneself in the context of peer relationships results in young people being better equipped to sustain meaningful relationships over time.  </w:t>
      </w:r>
    </w:p>
    <w:p w14:paraId="15CFE17B" w14:textId="77777777" w:rsidR="00047754" w:rsidRPr="00047754" w:rsidRDefault="00047754" w:rsidP="00047754">
      <w:pPr>
        <w:spacing w:after="0"/>
        <w:rPr>
          <w:rFonts w:ascii="Aptos Narrow" w:eastAsia="Alegreya" w:hAnsi="Aptos Narrow" w:cs="Alegreya"/>
        </w:rPr>
      </w:pPr>
      <w:r w:rsidRPr="00047754">
        <w:rPr>
          <w:rFonts w:ascii="Aptos Narrow" w:eastAsia="Alegreya" w:hAnsi="Aptos Narrow" w:cs="Alegreya"/>
        </w:rPr>
        <w:t> </w:t>
      </w:r>
    </w:p>
    <w:p w14:paraId="00000041" w14:textId="416B28ED" w:rsidR="00AD7388" w:rsidRPr="00531640" w:rsidRDefault="00047754">
      <w:pPr>
        <w:spacing w:after="0"/>
        <w:rPr>
          <w:rFonts w:ascii="Aptos Narrow" w:eastAsia="Alegreya" w:hAnsi="Aptos Narrow" w:cs="Alegreya"/>
        </w:rPr>
      </w:pPr>
      <w:r w:rsidRPr="00047754">
        <w:rPr>
          <w:rFonts w:ascii="Aptos Narrow" w:eastAsia="Alegreya" w:hAnsi="Aptos Narrow" w:cs="Alegreya"/>
        </w:rPr>
        <w:t>Regarding the moral self, egalitarian relationships, such as those with peers, allow for enhanced perspective-taking, whereas hierarchal relationships (ex. teachers, professionals, other adults) do not, because CYP are too far-removed from these roles (Haidt, 2012). Restricting socialisation with other kids during the conventional stage of morality especially (late childhood to early adolescence) can cause them to become “stuck” in this stage and face difficulty tackling more abstract ethical and moral dilemmas. The consequence may be increased vulnerability in adulthood, as young people become young adults who are unable to act from their own individual principles and understanding of right and wrong, and rather being more influenced by the motivations of others, which may be negative or positive.  </w:t>
      </w:r>
      <w:r w:rsidRPr="00531640">
        <w:rPr>
          <w:rFonts w:ascii="Aptos Narrow" w:eastAsia="Alegreya" w:hAnsi="Aptos Narrow" w:cs="Alegreya"/>
        </w:rPr>
        <w:t xml:space="preserve">  </w:t>
      </w:r>
    </w:p>
    <w:p w14:paraId="00000042" w14:textId="77777777" w:rsidR="00AD7388" w:rsidRDefault="00AD7388">
      <w:pPr>
        <w:spacing w:after="0"/>
        <w:rPr>
          <w:rFonts w:ascii="Aptos Narrow" w:eastAsia="Alegreya" w:hAnsi="Aptos Narrow" w:cs="Alegreya"/>
        </w:rPr>
      </w:pPr>
    </w:p>
    <w:p w14:paraId="21461B4E" w14:textId="77777777" w:rsidR="00C43009" w:rsidRPr="00531640" w:rsidRDefault="00C43009">
      <w:pPr>
        <w:spacing w:after="0"/>
        <w:rPr>
          <w:rFonts w:ascii="Aptos Narrow" w:eastAsia="Alegreya" w:hAnsi="Aptos Narrow" w:cs="Alegreya"/>
        </w:rPr>
      </w:pPr>
    </w:p>
    <w:p w14:paraId="00000043"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u w:val="single"/>
        </w:rPr>
        <w:t>Risk-Taking in Adolescence</w:t>
      </w:r>
    </w:p>
    <w:p w14:paraId="00000044" w14:textId="77777777" w:rsidR="00AD7388" w:rsidRPr="00531640" w:rsidRDefault="00AD7388">
      <w:pPr>
        <w:spacing w:after="0"/>
        <w:rPr>
          <w:rFonts w:ascii="Aptos Narrow" w:eastAsia="Alegreya" w:hAnsi="Aptos Narrow" w:cs="Alegreya"/>
        </w:rPr>
      </w:pPr>
    </w:p>
    <w:p w14:paraId="00000045" w14:textId="5561D62E"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The adolescent brain is wired for enhanced risk-taking. Risk-taking during adolescence activates the prefrontal cortex and allows for the development of skills such as impulse control, planning, and emotional regulation (Galván, 2025).  Adolescent risk-taking can be redefined as a “goal-directed act of exploration,” as risk does not necessarily mean engaging in potentially harmful </w:t>
      </w:r>
      <w:r w:rsidR="0041142C" w:rsidRPr="00531640">
        <w:rPr>
          <w:rFonts w:ascii="Aptos Narrow" w:eastAsia="Alegreya" w:hAnsi="Aptos Narrow" w:cs="Alegreya"/>
        </w:rPr>
        <w:t>behaviour but</w:t>
      </w:r>
      <w:r w:rsidRPr="00531640">
        <w:rPr>
          <w:rFonts w:ascii="Aptos Narrow" w:eastAsia="Alegreya" w:hAnsi="Aptos Narrow" w:cs="Alegreya"/>
        </w:rPr>
        <w:t xml:space="preserve"> includes any action of which the outcome is not certain (Ciranka &amp; van den Bos, 2021). During adolescence, young people are essentially learning how to be adults, and with all the life milestones they are about to encounter, they would not be able to succeed without taking some risks (Saragosa-Harris et al., 2022; National Academies of Sciences, Engineering, and Medicine, 2020). Taking risks, and inevitably making mistakes, is a productive part of adolescence.</w:t>
      </w:r>
    </w:p>
    <w:p w14:paraId="00000046" w14:textId="77777777" w:rsidR="00AD7388" w:rsidRPr="00531640" w:rsidRDefault="00AD7388">
      <w:pPr>
        <w:spacing w:after="0"/>
        <w:rPr>
          <w:rFonts w:ascii="Aptos Narrow" w:eastAsia="Alegreya" w:hAnsi="Aptos Narrow" w:cs="Alegreya"/>
        </w:rPr>
      </w:pPr>
    </w:p>
    <w:p w14:paraId="00000047"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i/>
        </w:rPr>
        <w:t>The Role of Peers in Risk-Taking</w:t>
      </w:r>
    </w:p>
    <w:p w14:paraId="00000048" w14:textId="77777777" w:rsidR="00AD7388" w:rsidRPr="00531640" w:rsidRDefault="00AD7388">
      <w:pPr>
        <w:spacing w:after="0"/>
        <w:rPr>
          <w:rFonts w:ascii="Aptos Narrow" w:eastAsia="Alegreya" w:hAnsi="Aptos Narrow" w:cs="Alegreya"/>
        </w:rPr>
      </w:pPr>
    </w:p>
    <w:p w14:paraId="00000049"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rPr>
        <w:t>One explanation of why adolescents take risks is to gain peer approval (Allen, 2024; Harakeh &amp; de Boer, 2019; van Hoorn et al., 2016). This can look to carers as cause to limit a young person’s time with peers, especially if they are taking physical risks (ex. substance use, fighting) to impress. However, often the need to take risks to be accepted by peers is an indication that that young person does not have strong enough friendships to begin with (Allen, 2024). If young people are supported to solidify t</w:t>
      </w:r>
      <w:r w:rsidRPr="00531640">
        <w:rPr>
          <w:rFonts w:ascii="Aptos Narrow" w:eastAsia="Alegreya" w:hAnsi="Aptos Narrow" w:cs="Alegreya"/>
        </w:rPr>
        <w:t xml:space="preserve">heir relationships with peers rather than discouraged from these relationships at the first sign </w:t>
      </w:r>
      <w:r w:rsidRPr="00531640">
        <w:rPr>
          <w:rFonts w:ascii="Aptos Narrow" w:eastAsia="Alegreya" w:hAnsi="Aptos Narrow" w:cs="Alegreya"/>
        </w:rPr>
        <w:lastRenderedPageBreak/>
        <w:t xml:space="preserve">of risk-taking, then over time their friendships are likely to become less tenuous and based on mutual understanding rather than surface-level behaviours. </w:t>
      </w:r>
    </w:p>
    <w:p w14:paraId="0000004C" w14:textId="77777777" w:rsidR="00AD7388" w:rsidRPr="00531640" w:rsidRDefault="00AD7388">
      <w:pPr>
        <w:spacing w:after="0"/>
        <w:rPr>
          <w:rFonts w:ascii="Aptos Narrow" w:eastAsia="Alegreya" w:hAnsi="Aptos Narrow" w:cs="Alegreya"/>
        </w:rPr>
      </w:pPr>
    </w:p>
    <w:p w14:paraId="0000004D" w14:textId="626339F3" w:rsidR="00AD7388" w:rsidRPr="00531640" w:rsidRDefault="00B83410">
      <w:pPr>
        <w:spacing w:after="0"/>
        <w:rPr>
          <w:rFonts w:ascii="Aptos Narrow" w:eastAsia="Alegreya" w:hAnsi="Aptos Narrow" w:cs="Alegreya"/>
        </w:rPr>
      </w:pPr>
      <w:r w:rsidRPr="00531640">
        <w:rPr>
          <w:rFonts w:ascii="Aptos Narrow" w:eastAsia="Alegreya" w:hAnsi="Aptos Narrow" w:cs="Alegreya"/>
        </w:rPr>
        <w:t>Research has predominantly focused on the potential dangers arising from peer relationships and peer influence, often citing “peer pressure” as a cause for risk-taking or harmful or delinquent behaviours. However, as the necessary role of social connection on a host of mental and physical health outcomes becomes more widely understood, some emerging perspectives argue that peer-related risk-taking is less detrimental to long-term development and outcomes than not having strong peer bonds (Allen, 2024). This</w:t>
      </w:r>
      <w:r w:rsidRPr="00531640">
        <w:rPr>
          <w:rFonts w:ascii="Aptos Narrow" w:eastAsia="Alegreya" w:hAnsi="Aptos Narrow" w:cs="Alegreya"/>
        </w:rPr>
        <w:t xml:space="preserve"> is particularly relevant during adolescence when peer relationships become more important to wellbeing and development than relationships with parents or parental figures (Allen et al., 2022; Brown &amp; Larson, 2009; De Goede et al., 2009). Further, during childhood and adolescence, losing or having a lack of friendships becomes extremely risky in the mind of a young person, in part due to how important friendships become to social-emotional development </w:t>
      </w:r>
      <w:r w:rsidR="0041142C">
        <w:rPr>
          <w:rFonts w:ascii="Aptos Narrow" w:eastAsia="Alegreya" w:hAnsi="Aptos Narrow" w:cs="Alegreya"/>
        </w:rPr>
        <w:t xml:space="preserve">in this </w:t>
      </w:r>
      <w:r w:rsidRPr="00531640">
        <w:rPr>
          <w:rFonts w:ascii="Aptos Narrow" w:eastAsia="Alegreya" w:hAnsi="Aptos Narrow" w:cs="Alegreya"/>
        </w:rPr>
        <w:t xml:space="preserve">period. Despite the overall tendency of young people to take </w:t>
      </w:r>
      <w:r w:rsidRPr="00531640">
        <w:rPr>
          <w:rFonts w:ascii="Aptos Narrow" w:eastAsia="Alegreya" w:hAnsi="Aptos Narrow" w:cs="Alegreya"/>
          <w:i/>
        </w:rPr>
        <w:t>more</w:t>
      </w:r>
      <w:r w:rsidRPr="00531640">
        <w:rPr>
          <w:rFonts w:ascii="Aptos Narrow" w:eastAsia="Alegreya" w:hAnsi="Aptos Narrow" w:cs="Alegreya"/>
        </w:rPr>
        <w:t xml:space="preserve"> risks, young people are very risk-averse when it comes to possibly losing friends (Galván et al., 2025; Tomova et al., 2021). </w:t>
      </w:r>
    </w:p>
    <w:p w14:paraId="0000004E" w14:textId="77777777" w:rsidR="00AD7388" w:rsidRPr="00531640" w:rsidRDefault="00AD7388">
      <w:pPr>
        <w:spacing w:after="0"/>
        <w:rPr>
          <w:rFonts w:ascii="Aptos Narrow" w:eastAsia="Alegreya" w:hAnsi="Aptos Narrow" w:cs="Alegreya"/>
        </w:rPr>
      </w:pPr>
    </w:p>
    <w:p w14:paraId="0000004F" w14:textId="5B016D73" w:rsidR="00AD7388" w:rsidRPr="00531640" w:rsidRDefault="00B83410">
      <w:pPr>
        <w:spacing w:after="0"/>
        <w:rPr>
          <w:rFonts w:ascii="Aptos Narrow" w:eastAsia="Alegreya" w:hAnsi="Aptos Narrow" w:cs="Alegreya"/>
        </w:rPr>
      </w:pPr>
      <w:r w:rsidRPr="00531640">
        <w:rPr>
          <w:rFonts w:ascii="Aptos Narrow" w:eastAsia="Alegreya" w:hAnsi="Aptos Narrow" w:cs="Alegreya"/>
        </w:rPr>
        <w:t>During adolescence, peer relationships become a matter of “life and death” to a young person, and this importance placed on friendships has historically caused concern to adults who also view adolescents' peers as potential negative influences. However, peer influence is rarely the sole cause of delinquent, deviant, or antisocial behaviour (Allen, 2024), and this appears to be highly dependent on the context and level of ambiguity involved in the risk-taking choice (Blankenstein et al., 2016). A meta-analys</w:t>
      </w:r>
      <w:r w:rsidRPr="00531640">
        <w:rPr>
          <w:rFonts w:ascii="Aptos Narrow" w:eastAsia="Alegreya" w:hAnsi="Aptos Narrow" w:cs="Alegreya"/>
        </w:rPr>
        <w:t xml:space="preserve">is found that although there is some evidence that peers increase risk-taking decisions during adolescence, the effect is small, and peer influence is only significant when they are actively sharing pro-risk attitudes, rather than simply presenting behaviours (Powers et al., 2022). Further, evidence suggests that adolescents only follow the risky choices of their peers when that risk-taking appears to be a legitimate means to an end, or when the situation involves a minimal rather than significant level of </w:t>
      </w:r>
      <w:r w:rsidRPr="00531640">
        <w:rPr>
          <w:rFonts w:ascii="Aptos Narrow" w:eastAsia="Alegreya" w:hAnsi="Aptos Narrow" w:cs="Alegreya"/>
        </w:rPr>
        <w:t xml:space="preserve">risk (Osmont et al., 2021). This suggests that there is a certain level of forethought and </w:t>
      </w:r>
      <w:r w:rsidR="004B336A" w:rsidRPr="00531640">
        <w:rPr>
          <w:rFonts w:ascii="Aptos Narrow" w:eastAsia="Alegreya" w:hAnsi="Aptos Narrow" w:cs="Alegreya"/>
        </w:rPr>
        <w:t>strategi</w:t>
      </w:r>
      <w:r w:rsidR="004B336A">
        <w:rPr>
          <w:rFonts w:ascii="Aptos Narrow" w:eastAsia="Alegreya" w:hAnsi="Aptos Narrow" w:cs="Alegreya"/>
        </w:rPr>
        <w:t>z</w:t>
      </w:r>
      <w:r w:rsidR="004B336A" w:rsidRPr="00531640">
        <w:rPr>
          <w:rFonts w:ascii="Aptos Narrow" w:eastAsia="Alegreya" w:hAnsi="Aptos Narrow" w:cs="Alegreya"/>
        </w:rPr>
        <w:t>ing</w:t>
      </w:r>
      <w:r w:rsidRPr="00531640">
        <w:rPr>
          <w:rFonts w:ascii="Aptos Narrow" w:eastAsia="Alegreya" w:hAnsi="Aptos Narrow" w:cs="Alegreya"/>
        </w:rPr>
        <w:t xml:space="preserve"> as to what types of risks adolescents will take. </w:t>
      </w:r>
    </w:p>
    <w:p w14:paraId="00000050" w14:textId="77777777" w:rsidR="00AD7388" w:rsidRPr="00531640" w:rsidRDefault="00AD7388">
      <w:pPr>
        <w:spacing w:after="0"/>
        <w:rPr>
          <w:rFonts w:ascii="Aptos Narrow" w:eastAsia="Alegreya" w:hAnsi="Aptos Narrow" w:cs="Alegreya"/>
        </w:rPr>
      </w:pPr>
    </w:p>
    <w:p w14:paraId="00000051"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i/>
        </w:rPr>
        <w:t>Types of Risk</w:t>
      </w:r>
    </w:p>
    <w:p w14:paraId="00000052" w14:textId="77777777" w:rsidR="00AD7388" w:rsidRPr="00531640" w:rsidRDefault="00AD7388">
      <w:pPr>
        <w:spacing w:after="0"/>
        <w:rPr>
          <w:rFonts w:ascii="Aptos Narrow" w:eastAsia="Alegreya" w:hAnsi="Aptos Narrow" w:cs="Alegreya"/>
        </w:rPr>
      </w:pPr>
    </w:p>
    <w:p w14:paraId="00000053" w14:textId="310FB2EE" w:rsidR="00AD7388" w:rsidRPr="00531640" w:rsidRDefault="00B83410">
      <w:pPr>
        <w:spacing w:after="0"/>
        <w:rPr>
          <w:rFonts w:ascii="Aptos Narrow" w:eastAsia="Alegreya" w:hAnsi="Aptos Narrow" w:cs="Alegreya"/>
        </w:rPr>
      </w:pPr>
      <w:r w:rsidRPr="00531640">
        <w:rPr>
          <w:rFonts w:ascii="Aptos Narrow" w:eastAsia="Alegreya" w:hAnsi="Aptos Narrow" w:cs="Alegreya"/>
        </w:rPr>
        <w:t>While focus is often on harmful risk-taking in adolescence, positive and negative risk-taking</w:t>
      </w:r>
      <w:r w:rsidR="00C32605">
        <w:rPr>
          <w:rFonts w:ascii="Aptos Narrow" w:eastAsia="Alegreya" w:hAnsi="Aptos Narrow" w:cs="Alegreya"/>
        </w:rPr>
        <w:t xml:space="preserve"> (as we tend to subjectively classify each)</w:t>
      </w:r>
      <w:r w:rsidRPr="00531640">
        <w:rPr>
          <w:rFonts w:ascii="Aptos Narrow" w:eastAsia="Alegreya" w:hAnsi="Aptos Narrow" w:cs="Alegreya"/>
        </w:rPr>
        <w:t xml:space="preserve"> are not separate functions of the brain, and those who have a higher propensity for risk-taking are more likely to take both negative </w:t>
      </w:r>
      <w:r w:rsidRPr="00531640">
        <w:rPr>
          <w:rFonts w:ascii="Aptos Narrow" w:eastAsia="Alegreya" w:hAnsi="Aptos Narrow" w:cs="Alegreya"/>
          <w:i/>
        </w:rPr>
        <w:t>and</w:t>
      </w:r>
      <w:r w:rsidRPr="00531640">
        <w:rPr>
          <w:rFonts w:ascii="Aptos Narrow" w:eastAsia="Alegreya" w:hAnsi="Aptos Narrow" w:cs="Alegreya"/>
        </w:rPr>
        <w:t xml:space="preserve"> positive risks (Fryt et al., 2023). Positive risks are constructive, especially during adolescence and early adulthood, in which expected developmental tasks require coping with a great deal of uncertainty</w:t>
      </w:r>
      <w:r w:rsidR="004B2C70">
        <w:rPr>
          <w:rFonts w:ascii="Aptos Narrow" w:eastAsia="Alegreya" w:hAnsi="Aptos Narrow" w:cs="Alegreya"/>
        </w:rPr>
        <w:t xml:space="preserve"> </w:t>
      </w:r>
      <w:r w:rsidRPr="00531640">
        <w:rPr>
          <w:rFonts w:ascii="Aptos Narrow" w:eastAsia="Alegreya" w:hAnsi="Aptos Narrow" w:cs="Alegreya"/>
        </w:rPr>
        <w:t>and therefore risk</w:t>
      </w:r>
      <w:r w:rsidR="00573CDD">
        <w:rPr>
          <w:rFonts w:ascii="Aptos Narrow" w:eastAsia="Alegreya" w:hAnsi="Aptos Narrow" w:cs="Alegreya"/>
        </w:rPr>
        <w:t xml:space="preserve"> (Duell &amp; Steinberg, 2019)</w:t>
      </w:r>
      <w:r w:rsidRPr="00531640">
        <w:rPr>
          <w:rFonts w:ascii="Aptos Narrow" w:eastAsia="Alegreya" w:hAnsi="Aptos Narrow" w:cs="Alegreya"/>
        </w:rPr>
        <w:t xml:space="preserve">. For instance, moving away from home </w:t>
      </w:r>
      <w:r w:rsidR="004B2C70">
        <w:rPr>
          <w:rFonts w:ascii="Aptos Narrow" w:eastAsia="Alegreya" w:hAnsi="Aptos Narrow" w:cs="Alegreya"/>
        </w:rPr>
        <w:t>–</w:t>
      </w:r>
      <w:r w:rsidRPr="00531640">
        <w:rPr>
          <w:rFonts w:ascii="Aptos Narrow" w:eastAsia="Alegreya" w:hAnsi="Aptos Narrow" w:cs="Alegreya"/>
        </w:rPr>
        <w:t xml:space="preserve"> possibly</w:t>
      </w:r>
      <w:r w:rsidR="004B2C70">
        <w:rPr>
          <w:rFonts w:ascii="Aptos Narrow" w:eastAsia="Alegreya" w:hAnsi="Aptos Narrow" w:cs="Alegreya"/>
        </w:rPr>
        <w:t xml:space="preserve"> </w:t>
      </w:r>
      <w:r w:rsidRPr="00531640">
        <w:rPr>
          <w:rFonts w:ascii="Aptos Narrow" w:eastAsia="Alegreya" w:hAnsi="Aptos Narrow" w:cs="Alegreya"/>
        </w:rPr>
        <w:t>to another city or country</w:t>
      </w:r>
      <w:r w:rsidR="004B2C70">
        <w:rPr>
          <w:rFonts w:ascii="Aptos Narrow" w:eastAsia="Alegreya" w:hAnsi="Aptos Narrow" w:cs="Alegreya"/>
        </w:rPr>
        <w:t xml:space="preserve"> – </w:t>
      </w:r>
      <w:r w:rsidRPr="00531640">
        <w:rPr>
          <w:rFonts w:ascii="Aptos Narrow" w:eastAsia="Alegreya" w:hAnsi="Aptos Narrow" w:cs="Alegreya"/>
        </w:rPr>
        <w:t>st</w:t>
      </w:r>
      <w:r w:rsidRPr="00531640">
        <w:rPr>
          <w:rFonts w:ascii="Aptos Narrow" w:eastAsia="Alegreya" w:hAnsi="Aptos Narrow" w:cs="Alegreya"/>
        </w:rPr>
        <w:t>arting</w:t>
      </w:r>
      <w:r w:rsidR="004B2C70">
        <w:rPr>
          <w:rFonts w:ascii="Aptos Narrow" w:eastAsia="Alegreya" w:hAnsi="Aptos Narrow" w:cs="Alegreya"/>
        </w:rPr>
        <w:t xml:space="preserve"> </w:t>
      </w:r>
      <w:r w:rsidRPr="00531640">
        <w:rPr>
          <w:rFonts w:ascii="Aptos Narrow" w:eastAsia="Alegreya" w:hAnsi="Aptos Narrow" w:cs="Alegreya"/>
        </w:rPr>
        <w:t>higher education, entering the workforce, and/or changing social groups are all normative milestones of older adolescence and early adulthood that in later life stages would be more likely to be seen as significant, even risky changes. When considering care-experienced young people, this task of entering adulthood is likely to hold even more risk as many of the safeguarding procedures and professional supports come to an end. Thus, it is imperative that during adolescence especially, young people lea</w:t>
      </w:r>
      <w:r w:rsidRPr="00531640">
        <w:rPr>
          <w:rFonts w:ascii="Aptos Narrow" w:eastAsia="Alegreya" w:hAnsi="Aptos Narrow" w:cs="Alegreya"/>
        </w:rPr>
        <w:t xml:space="preserve">rn how to effectively take risks and manage a certain level of uncertainty. </w:t>
      </w:r>
    </w:p>
    <w:p w14:paraId="00000054" w14:textId="77777777" w:rsidR="00AD7388" w:rsidRPr="00531640" w:rsidRDefault="00AD7388">
      <w:pPr>
        <w:spacing w:after="0"/>
        <w:rPr>
          <w:rFonts w:ascii="Aptos Narrow" w:eastAsia="Alegreya" w:hAnsi="Aptos Narrow" w:cs="Alegreya"/>
        </w:rPr>
      </w:pPr>
    </w:p>
    <w:p w14:paraId="00000055" w14:textId="522CE742"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There has also been a shift in the last decade especially regarding the type of potentially dangerous risks that adolescents take. In line with the internet era and pervasiveness of smartphones in young people’s lives, young people are taking </w:t>
      </w:r>
      <w:r w:rsidR="0041142C" w:rsidRPr="00531640">
        <w:rPr>
          <w:rFonts w:ascii="Aptos Narrow" w:eastAsia="Alegreya" w:hAnsi="Aptos Narrow" w:cs="Alegreya"/>
        </w:rPr>
        <w:t>fewer</w:t>
      </w:r>
      <w:r w:rsidRPr="00531640">
        <w:rPr>
          <w:rFonts w:ascii="Aptos Narrow" w:eastAsia="Alegreya" w:hAnsi="Aptos Narrow" w:cs="Alegreya"/>
        </w:rPr>
        <w:t xml:space="preserve"> physical risks than ever before, with rates of substance use, unprotected sex, crime, and dangerous driving decreasing steadily in teens since 1990 (Arnett, 2018; Coley et al., 2025). This is, in part, related to declining mental health in young people, increased levels of anxiety, and a future that is becoming </w:t>
      </w:r>
      <w:r w:rsidR="0041142C">
        <w:rPr>
          <w:rFonts w:ascii="Aptos Narrow" w:eastAsia="Alegreya" w:hAnsi="Aptos Narrow" w:cs="Alegreya"/>
        </w:rPr>
        <w:t>riskier</w:t>
      </w:r>
      <w:r w:rsidRPr="00531640">
        <w:rPr>
          <w:rFonts w:ascii="Aptos Narrow" w:eastAsia="Alegreya" w:hAnsi="Aptos Narrow" w:cs="Alegreya"/>
        </w:rPr>
        <w:t xml:space="preserve"> for young people in terms of the economy and job market. While young people may be taking less risks that can cause direct physical harm, they are taking more types of risks in digital </w:t>
      </w:r>
      <w:r w:rsidRPr="00531640">
        <w:rPr>
          <w:rFonts w:ascii="Aptos Narrow" w:eastAsia="Alegreya" w:hAnsi="Aptos Narrow" w:cs="Alegreya"/>
        </w:rPr>
        <w:t>spheres. This has been attributed to an increase in overprotective and risk-averse parenting in the 2000s, leading to</w:t>
      </w:r>
      <w:r w:rsidR="00C56330">
        <w:rPr>
          <w:rFonts w:ascii="Aptos Narrow" w:eastAsia="Alegreya" w:hAnsi="Aptos Narrow" w:cs="Alegreya"/>
        </w:rPr>
        <w:t xml:space="preserve"> CYP</w:t>
      </w:r>
      <w:r w:rsidRPr="00531640">
        <w:rPr>
          <w:rFonts w:ascii="Aptos Narrow" w:eastAsia="Alegreya" w:hAnsi="Aptos Narrow" w:cs="Alegreya"/>
        </w:rPr>
        <w:t xml:space="preserve"> engaging less in “risky play” and rather engaging in online spaces, ones that are more often than not targeted towards adults (Haidt, 2024). Moreover, as young people are feeling more isolated than ever, they will often turn to the internet for connection, leaving them vulnerable to an adult-centred space that they likely do not have the experience or skills to protect themselves in (Gon</w:t>
      </w:r>
      <w:r w:rsidRPr="00531640">
        <w:rPr>
          <w:rFonts w:ascii="Aptos Narrow" w:eastAsia="Alegreya" w:hAnsi="Aptos Narrow" w:cs="Alegreya"/>
        </w:rPr>
        <w:t>g et al., 2024; Matiz et al., 2024). The scope of online harms could be an article in itself and is beyond the remit of the present paper, but nonetheless it is worth considering how adults’ perception of what risks are actually posing threats to young people today may or may not be aligned with the reality. Accepting that young people might take more “traditional” risks in the presence of friends, such as underage drinking, might be the trade-off for those young people having close, real-life relationships</w:t>
      </w:r>
      <w:r w:rsidRPr="00531640">
        <w:rPr>
          <w:rFonts w:ascii="Aptos Narrow" w:eastAsia="Alegreya" w:hAnsi="Aptos Narrow" w:cs="Alegreya"/>
        </w:rPr>
        <w:t xml:space="preserve"> that will make </w:t>
      </w:r>
      <w:r w:rsidRPr="00531640">
        <w:rPr>
          <w:rFonts w:ascii="Aptos Narrow" w:eastAsia="Alegreya" w:hAnsi="Aptos Narrow" w:cs="Alegreya"/>
        </w:rPr>
        <w:lastRenderedPageBreak/>
        <w:t xml:space="preserve">them likely to look for connection and belonging on an unregulated internet, thus potentially making them less vulnerable long-term. </w:t>
      </w:r>
    </w:p>
    <w:p w14:paraId="00000056" w14:textId="77777777" w:rsidR="00AD7388" w:rsidRPr="00531640" w:rsidRDefault="00AD7388">
      <w:pPr>
        <w:spacing w:after="0"/>
        <w:rPr>
          <w:rFonts w:ascii="Aptos Narrow" w:eastAsia="Alegreya" w:hAnsi="Aptos Narrow" w:cs="Alegreya"/>
        </w:rPr>
      </w:pPr>
    </w:p>
    <w:p w14:paraId="00000057" w14:textId="77777777" w:rsidR="00AD7388" w:rsidRPr="00531640" w:rsidRDefault="00AD7388">
      <w:pPr>
        <w:spacing w:after="0"/>
        <w:rPr>
          <w:rFonts w:ascii="Aptos Narrow" w:eastAsia="Alegreya" w:hAnsi="Aptos Narrow" w:cs="Alegreya"/>
        </w:rPr>
      </w:pPr>
    </w:p>
    <w:p w14:paraId="00000058"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u w:val="single"/>
        </w:rPr>
        <w:t>Friendships for Young People in Care</w:t>
      </w:r>
    </w:p>
    <w:p w14:paraId="00000059" w14:textId="77777777" w:rsidR="00AD7388" w:rsidRPr="00531640" w:rsidRDefault="00AD7388">
      <w:pPr>
        <w:spacing w:after="0"/>
        <w:rPr>
          <w:rFonts w:ascii="Aptos Narrow" w:eastAsia="Alegreya" w:hAnsi="Aptos Narrow" w:cs="Alegreya"/>
        </w:rPr>
      </w:pPr>
    </w:p>
    <w:p w14:paraId="0000005A" w14:textId="77777777" w:rsidR="00AD7388" w:rsidRPr="00531640" w:rsidRDefault="00B83410">
      <w:pPr>
        <w:spacing w:after="0"/>
        <w:rPr>
          <w:rFonts w:ascii="Aptos Narrow" w:eastAsia="Alegreya" w:hAnsi="Aptos Narrow" w:cs="Alegreya"/>
          <w:i/>
        </w:rPr>
      </w:pPr>
      <w:r w:rsidRPr="00531640">
        <w:rPr>
          <w:rFonts w:ascii="Aptos Narrow" w:eastAsia="Alegreya" w:hAnsi="Aptos Narrow" w:cs="Alegreya"/>
          <w:i/>
        </w:rPr>
        <w:t>The Safeguarding Potential of Friendships</w:t>
      </w:r>
    </w:p>
    <w:p w14:paraId="0000005B" w14:textId="77777777" w:rsidR="00AD7388" w:rsidRPr="00531640" w:rsidRDefault="00AD7388">
      <w:pPr>
        <w:spacing w:after="0"/>
        <w:rPr>
          <w:rFonts w:ascii="Aptos Narrow" w:eastAsia="Alegreya" w:hAnsi="Aptos Narrow" w:cs="Alegreya"/>
        </w:rPr>
      </w:pPr>
    </w:p>
    <w:p w14:paraId="0000005C" w14:textId="410C7E3F" w:rsidR="00AD7388" w:rsidRPr="00531640" w:rsidRDefault="00B83410">
      <w:pPr>
        <w:spacing w:after="0"/>
        <w:rPr>
          <w:rFonts w:ascii="Aptos Narrow" w:eastAsia="Alegreya" w:hAnsi="Aptos Narrow" w:cs="Alegreya"/>
        </w:rPr>
      </w:pPr>
      <w:r w:rsidRPr="00531640">
        <w:rPr>
          <w:rFonts w:ascii="Aptos Narrow" w:eastAsia="Alegreya" w:hAnsi="Aptos Narrow" w:cs="Alegreya"/>
        </w:rPr>
        <w:t>Protection is not only about eliminating the potential for harm, but about increasing the potential for success, health, welfare, and happiness (Burns et al., 2022; Font &amp; Fluke, 2023; Roesch-Marsch et al., 2020). From an adult perspective, friends may initially seem to bring with them a significant chance of harm, whether that be due to their influence on behaviours or the potential for interpersonal conflicts and friendship breakdowns leading to emotional pain (Galván et al., 2025). It can be difficult fo</w:t>
      </w:r>
      <w:r w:rsidRPr="00531640">
        <w:rPr>
          <w:rFonts w:ascii="Aptos Narrow" w:eastAsia="Alegreya" w:hAnsi="Aptos Narrow" w:cs="Alegreya"/>
        </w:rPr>
        <w:t xml:space="preserve">r carers and parents to see a child </w:t>
      </w:r>
      <w:r w:rsidR="00BD242D">
        <w:rPr>
          <w:rFonts w:ascii="Aptos Narrow" w:eastAsia="Alegreya" w:hAnsi="Aptos Narrow" w:cs="Alegreya"/>
        </w:rPr>
        <w:t>–</w:t>
      </w:r>
      <w:r w:rsidRPr="00531640">
        <w:rPr>
          <w:rFonts w:ascii="Aptos Narrow" w:eastAsia="Alegreya" w:hAnsi="Aptos Narrow" w:cs="Alegreya"/>
        </w:rPr>
        <w:t xml:space="preserve"> especially</w:t>
      </w:r>
      <w:r w:rsidR="00BD242D">
        <w:rPr>
          <w:rFonts w:ascii="Aptos Narrow" w:eastAsia="Alegreya" w:hAnsi="Aptos Narrow" w:cs="Alegreya"/>
        </w:rPr>
        <w:t xml:space="preserve"> </w:t>
      </w:r>
      <w:r w:rsidRPr="00531640">
        <w:rPr>
          <w:rFonts w:ascii="Aptos Narrow" w:eastAsia="Alegreya" w:hAnsi="Aptos Narrow" w:cs="Alegreya"/>
        </w:rPr>
        <w:t xml:space="preserve">a child in care that has likely experienced adverse experiences, relational trauma, and stigmatisation </w:t>
      </w:r>
      <w:r w:rsidR="00BD242D">
        <w:rPr>
          <w:rFonts w:ascii="Aptos Narrow" w:eastAsia="Alegreya" w:hAnsi="Aptos Narrow" w:cs="Alegreya"/>
        </w:rPr>
        <w:t>–</w:t>
      </w:r>
      <w:r w:rsidRPr="00531640">
        <w:rPr>
          <w:rFonts w:ascii="Aptos Narrow" w:eastAsia="Alegreya" w:hAnsi="Aptos Narrow" w:cs="Alegreya"/>
        </w:rPr>
        <w:t xml:space="preserve"> be</w:t>
      </w:r>
      <w:r w:rsidR="00BD242D">
        <w:rPr>
          <w:rFonts w:ascii="Aptos Narrow" w:eastAsia="Alegreya" w:hAnsi="Aptos Narrow" w:cs="Alegreya"/>
        </w:rPr>
        <w:t xml:space="preserve"> </w:t>
      </w:r>
      <w:r w:rsidRPr="00531640">
        <w:rPr>
          <w:rFonts w:ascii="Aptos Narrow" w:eastAsia="Alegreya" w:hAnsi="Aptos Narrow" w:cs="Alegreya"/>
        </w:rPr>
        <w:t>treated poorly by other kids. Naturally, caretakers will often want to step in and resolve this issue, but that can remove opportunities for necessary social and relational learning that will increase the chance of success and wellbeing later in life. Not to mention, as already discussed, the plethora of negative health and wellbeing outcomes associated</w:t>
      </w:r>
      <w:r w:rsidRPr="00531640">
        <w:rPr>
          <w:rFonts w:ascii="Aptos Narrow" w:eastAsia="Alegreya" w:hAnsi="Aptos Narrow" w:cs="Alegreya"/>
        </w:rPr>
        <w:t xml:space="preserve"> with not having friendships. Care-experienced young people themselves have reflected that while not </w:t>
      </w:r>
      <w:r w:rsidR="0041142C" w:rsidRPr="00531640">
        <w:rPr>
          <w:rFonts w:ascii="Aptos Narrow" w:eastAsia="Alegreya" w:hAnsi="Aptos Narrow" w:cs="Alegreya"/>
        </w:rPr>
        <w:t>all</w:t>
      </w:r>
      <w:r w:rsidRPr="00531640">
        <w:rPr>
          <w:rFonts w:ascii="Aptos Narrow" w:eastAsia="Alegreya" w:hAnsi="Aptos Narrow" w:cs="Alegreya"/>
        </w:rPr>
        <w:t xml:space="preserve"> their friendships have been positive, they value the opportunity to learn through naturally occurring relationships with other young people (Irvine &amp; Emond, 2023). </w:t>
      </w:r>
    </w:p>
    <w:p w14:paraId="0000005D" w14:textId="77777777" w:rsidR="00AD7388" w:rsidRPr="00531640" w:rsidRDefault="00AD7388">
      <w:pPr>
        <w:spacing w:after="0"/>
        <w:rPr>
          <w:rFonts w:ascii="Aptos Narrow" w:eastAsia="Alegreya" w:hAnsi="Aptos Narrow" w:cs="Alegreya"/>
        </w:rPr>
      </w:pPr>
    </w:p>
    <w:p w14:paraId="0000005E"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rPr>
        <w:t>When young people do take risks, as is normal in their developmental stage, their friends might be the best people to keep them safe. Sullivan and Niker (2025) posit that a key element of a companion friendship is acting to promote each other’s wellbeing, and doing so based on shared knowledge and being able to anticipate what your friend needs. Close friends form an intimate and trusting relationship in which the sharing of experiences, feelings, and personal information leads to a deep understanding of th</w:t>
      </w:r>
      <w:r w:rsidRPr="00531640">
        <w:rPr>
          <w:rFonts w:ascii="Aptos Narrow" w:eastAsia="Alegreya" w:hAnsi="Aptos Narrow" w:cs="Alegreya"/>
        </w:rPr>
        <w:t>e other. Therefore, friends know a lot about each other, and especially during older childhood and adolescence, likely more than anyone else knows. As described earlier in this paper, this often means that friends are able to predict the wellbeing needs of each other and act to meet these, even without the other person explicitly asking for assistance. Granted, young people in care tend to experience more barriers to forming trusting relationships, including with peers, and therefore being thoroughly unders</w:t>
      </w:r>
      <w:r w:rsidRPr="00531640">
        <w:rPr>
          <w:rFonts w:ascii="Aptos Narrow" w:eastAsia="Alegreya" w:hAnsi="Aptos Narrow" w:cs="Alegreya"/>
        </w:rPr>
        <w:t>tood by a friend might take more time to achieve (Tzouvara et al., 2023). That said, adolescents generally share more with their friends than with their parents or carers (Briheim-Crookall et al., 2020), and it can be reasonably assumed that this dynamic is even more pronounced when instead of parents raising them, children have a team of professionals doing so. While professionals want to, and are expected to, play the primary safeguarding role in the life of a child in care, as children grow up, their fri</w:t>
      </w:r>
      <w:r w:rsidRPr="00531640">
        <w:rPr>
          <w:rFonts w:ascii="Aptos Narrow" w:eastAsia="Alegreya" w:hAnsi="Aptos Narrow" w:cs="Alegreya"/>
        </w:rPr>
        <w:t>ends may be better suited to keep them safe and protect their wellbeing, as they are more likely to know the intimate details of what they need. </w:t>
      </w:r>
    </w:p>
    <w:p w14:paraId="0000005F" w14:textId="77777777" w:rsidR="00AD7388" w:rsidRPr="00531640" w:rsidRDefault="00AD7388">
      <w:pPr>
        <w:spacing w:after="0"/>
        <w:rPr>
          <w:rFonts w:ascii="Aptos Narrow" w:eastAsia="Alegreya" w:hAnsi="Aptos Narrow" w:cs="Alegreya"/>
        </w:rPr>
      </w:pPr>
    </w:p>
    <w:p w14:paraId="00000060" w14:textId="5AC1A4A0"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This is supported by a research project from Safer London, which evaluated the safeguarding potential of friends and the ways in which peers can be incorporated into professional safeguarding processes (Latimer et al., 2020). They found that young people’s friends provided a range of informal support, often meeting key needs such as physical safety, food, a sense of belonging, and emotional support.  For example, friends were reported </w:t>
      </w:r>
      <w:r w:rsidR="0041142C" w:rsidRPr="00531640">
        <w:rPr>
          <w:rFonts w:ascii="Aptos Narrow" w:eastAsia="Alegreya" w:hAnsi="Aptos Narrow" w:cs="Alegreya"/>
        </w:rPr>
        <w:t>to</w:t>
      </w:r>
      <w:r w:rsidRPr="00531640">
        <w:rPr>
          <w:rFonts w:ascii="Aptos Narrow" w:eastAsia="Alegreya" w:hAnsi="Aptos Narrow" w:cs="Alegreya"/>
        </w:rPr>
        <w:t xml:space="preserve"> buy or share food, offer a place to stay, pick up friends from dangerous situations, assist with help-seeking from professionals, be an active bystander in difficult situations, help young people meet new people, provide reassurance, and allow for sharing of experiences. Several studies have also shown that friends become crucial when young people are transitioning </w:t>
      </w:r>
      <w:r w:rsidRPr="00531640">
        <w:rPr>
          <w:rFonts w:ascii="Aptos Narrow" w:eastAsia="Alegreya" w:hAnsi="Aptos Narrow" w:cs="Alegreya"/>
          <w:i/>
        </w:rPr>
        <w:t>out</w:t>
      </w:r>
      <w:r w:rsidRPr="00531640">
        <w:rPr>
          <w:rFonts w:ascii="Aptos Narrow" w:eastAsia="Alegreya" w:hAnsi="Aptos Narrow" w:cs="Alegreya"/>
        </w:rPr>
        <w:t xml:space="preserve"> of care, as they start to fill many roles that workers filled while those young people were still looked after, including ongoing emotion</w:t>
      </w:r>
      <w:r w:rsidRPr="00531640">
        <w:rPr>
          <w:rFonts w:ascii="Aptos Narrow" w:eastAsia="Alegreya" w:hAnsi="Aptos Narrow" w:cs="Alegreya"/>
        </w:rPr>
        <w:t xml:space="preserve">al support, moral support, encouragement to remain in education, access to work opportunities, housing, and transportation (Guinchard, 2024). However, if young people leave care without any friendships and experience difficulty making friends as a young adult, this can put them at increased risk of not being able to meet their own needs when living independently, ultimately reducing their chance of positive long-term outcomes. </w:t>
      </w:r>
    </w:p>
    <w:p w14:paraId="00000061" w14:textId="77777777" w:rsidR="00AD7388" w:rsidRPr="00531640" w:rsidRDefault="00AD7388">
      <w:pPr>
        <w:spacing w:after="0"/>
        <w:rPr>
          <w:rFonts w:ascii="Aptos Narrow" w:eastAsia="Alegreya" w:hAnsi="Aptos Narrow" w:cs="Alegreya"/>
        </w:rPr>
      </w:pPr>
    </w:p>
    <w:p w14:paraId="00000062" w14:textId="378EB8DF" w:rsidR="00AD7388" w:rsidRPr="00531640" w:rsidRDefault="00B83410">
      <w:pPr>
        <w:spacing w:after="0"/>
        <w:rPr>
          <w:rFonts w:ascii="Aptos Narrow" w:eastAsia="Alegreya" w:hAnsi="Aptos Narrow" w:cs="Alegreya"/>
        </w:rPr>
      </w:pPr>
      <w:r w:rsidRPr="00531640">
        <w:rPr>
          <w:rFonts w:ascii="Aptos Narrow" w:eastAsia="Alegreya" w:hAnsi="Aptos Narrow" w:cs="Alegreya"/>
        </w:rPr>
        <w:t xml:space="preserve">Due to their safeguarding potential, it has been recommended that friends be included in safeguarding procedures of </w:t>
      </w:r>
      <w:r w:rsidR="00F65FCC">
        <w:rPr>
          <w:rFonts w:ascii="Aptos Narrow" w:eastAsia="Alegreya" w:hAnsi="Aptos Narrow" w:cs="Alegreya"/>
        </w:rPr>
        <w:t>CYP</w:t>
      </w:r>
      <w:r w:rsidRPr="00531640">
        <w:rPr>
          <w:rFonts w:ascii="Aptos Narrow" w:eastAsia="Alegreya" w:hAnsi="Aptos Narrow" w:cs="Alegreya"/>
        </w:rPr>
        <w:t xml:space="preserve"> in care (Firmin et al., 2023). However, it is still more commonplace for friends to only be included in safeguarding practices as a source of potential harm and extra-familial abuse that requires monitoring by professionals in the community, such as teachers (Lloyd et al., 2023). In fact, contextual safeguarding, a widely recommended approach to </w:t>
      </w:r>
      <w:r w:rsidRPr="00531640">
        <w:rPr>
          <w:rFonts w:ascii="Aptos Narrow" w:eastAsia="Alegreya" w:hAnsi="Aptos Narrow" w:cs="Alegreya"/>
        </w:rPr>
        <w:lastRenderedPageBreak/>
        <w:t xml:space="preserve">safeguarding of children determined to be at risk, is rooted in the belief that harm can and is likely to occur outside the home, with peer-on-peer abuse being </w:t>
      </w:r>
      <w:r w:rsidRPr="00531640">
        <w:rPr>
          <w:rFonts w:ascii="Aptos Narrow" w:eastAsia="Alegreya" w:hAnsi="Aptos Narrow" w:cs="Alegreya"/>
        </w:rPr>
        <w:t xml:space="preserve">an often-cited risk (Firmin, 2023). However, as noted at the start of this section, safeguarding is not only protecting from </w:t>
      </w:r>
      <w:r w:rsidR="00531640" w:rsidRPr="00531640">
        <w:rPr>
          <w:rFonts w:ascii="Aptos Narrow" w:eastAsia="Alegreya" w:hAnsi="Aptos Narrow" w:cs="Alegreya"/>
        </w:rPr>
        <w:t>harm but</w:t>
      </w:r>
      <w:r w:rsidRPr="00531640">
        <w:rPr>
          <w:rFonts w:ascii="Aptos Narrow" w:eastAsia="Alegreya" w:hAnsi="Aptos Narrow" w:cs="Alegreya"/>
        </w:rPr>
        <w:t xml:space="preserve"> allowing opportunities for growth. </w:t>
      </w:r>
      <w:r w:rsidR="00531640" w:rsidRPr="00531640">
        <w:rPr>
          <w:rFonts w:ascii="Aptos Narrow" w:eastAsia="Alegreya" w:hAnsi="Aptos Narrow" w:cs="Alegreya"/>
        </w:rPr>
        <w:t xml:space="preserve">For young people in care, positive </w:t>
      </w:r>
      <w:r w:rsidR="00531640" w:rsidRPr="00531640">
        <w:rPr>
          <w:rFonts w:ascii="Aptos Narrow" w:eastAsia="Alegreya" w:hAnsi="Aptos Narrow" w:cs="Alegreya"/>
          <w:i/>
        </w:rPr>
        <w:t>perceptions</w:t>
      </w:r>
      <w:r w:rsidR="00531640" w:rsidRPr="00531640">
        <w:rPr>
          <w:rFonts w:ascii="Aptos Narrow" w:eastAsia="Alegreya" w:hAnsi="Aptos Narrow" w:cs="Alegreya"/>
        </w:rPr>
        <w:t xml:space="preserve"> of friendship quality </w:t>
      </w:r>
      <w:r w:rsidR="00531640">
        <w:rPr>
          <w:rFonts w:ascii="Aptos Narrow" w:eastAsia="Alegreya" w:hAnsi="Aptos Narrow" w:cs="Alegreya"/>
        </w:rPr>
        <w:t xml:space="preserve">– not whether these friendships are in fact, high quality – </w:t>
      </w:r>
      <w:r w:rsidR="00531640" w:rsidRPr="00531640">
        <w:rPr>
          <w:rFonts w:ascii="Aptos Narrow" w:eastAsia="Alegreya" w:hAnsi="Aptos Narrow" w:cs="Alegreya"/>
        </w:rPr>
        <w:t>positively</w:t>
      </w:r>
      <w:r w:rsidR="00531640">
        <w:rPr>
          <w:rFonts w:ascii="Aptos Narrow" w:eastAsia="Alegreya" w:hAnsi="Aptos Narrow" w:cs="Alegreya"/>
        </w:rPr>
        <w:t xml:space="preserve"> </w:t>
      </w:r>
      <w:r w:rsidR="00531640" w:rsidRPr="00531640">
        <w:rPr>
          <w:rFonts w:ascii="Aptos Narrow" w:eastAsia="Alegreya" w:hAnsi="Aptos Narrow" w:cs="Alegreya"/>
        </w:rPr>
        <w:t>impact on psychological functioning, including on social, thought, and attentional indicators (</w:t>
      </w:r>
      <w:r w:rsidR="00531640">
        <w:rPr>
          <w:rFonts w:ascii="Aptos Narrow" w:eastAsia="Alegreya" w:hAnsi="Aptos Narrow" w:cs="Alegreya"/>
        </w:rPr>
        <w:t>Calheiros et al., 2025). Above all, c</w:t>
      </w:r>
      <w:r w:rsidRPr="00531640">
        <w:rPr>
          <w:rFonts w:ascii="Aptos Narrow" w:eastAsia="Alegreya" w:hAnsi="Aptos Narrow" w:cs="Alegreya"/>
        </w:rPr>
        <w:t>onsidering the established long-term mental and physical health consequ</w:t>
      </w:r>
      <w:r w:rsidRPr="00531640">
        <w:rPr>
          <w:rFonts w:ascii="Aptos Narrow" w:eastAsia="Alegreya" w:hAnsi="Aptos Narrow" w:cs="Alegreya"/>
        </w:rPr>
        <w:t>ences associated with being socially isolated in childhood and adolescence (Christiansen et al., 2021</w:t>
      </w:r>
      <w:r w:rsidR="007773C2">
        <w:rPr>
          <w:rFonts w:ascii="Aptos Narrow" w:eastAsia="Alegreya" w:hAnsi="Aptos Narrow" w:cs="Alegreya"/>
        </w:rPr>
        <w:t>; Orben et al., 2020</w:t>
      </w:r>
      <w:r w:rsidRPr="00531640">
        <w:rPr>
          <w:rFonts w:ascii="Aptos Narrow" w:eastAsia="Alegreya" w:hAnsi="Aptos Narrow" w:cs="Alegreya"/>
        </w:rPr>
        <w:t xml:space="preserve">), encouraging friendships, even imperfect ones, should be prioritised </w:t>
      </w:r>
      <w:r w:rsidR="00531640" w:rsidRPr="00531640">
        <w:rPr>
          <w:rFonts w:ascii="Aptos Narrow" w:eastAsia="Alegreya" w:hAnsi="Aptos Narrow" w:cs="Alegreya"/>
        </w:rPr>
        <w:t>to</w:t>
      </w:r>
      <w:r w:rsidRPr="00531640">
        <w:rPr>
          <w:rFonts w:ascii="Aptos Narrow" w:eastAsia="Alegreya" w:hAnsi="Aptos Narrow" w:cs="Alegreya"/>
        </w:rPr>
        <w:t xml:space="preserve"> promote thriving across the lifespan of young people in care, even if these friends might contribute to an increase in immediate risk in the present.</w:t>
      </w:r>
      <w:r w:rsidR="00531640">
        <w:rPr>
          <w:rFonts w:ascii="Aptos Narrow" w:eastAsia="Alegreya" w:hAnsi="Aptos Narrow" w:cs="Alegreya"/>
        </w:rPr>
        <w:t xml:space="preserve"> </w:t>
      </w:r>
    </w:p>
    <w:p w14:paraId="00000063" w14:textId="77777777" w:rsidR="00AD7388" w:rsidRDefault="00AD7388">
      <w:pPr>
        <w:spacing w:after="0"/>
        <w:rPr>
          <w:rFonts w:ascii="Aptos Narrow" w:eastAsia="Alegreya" w:hAnsi="Aptos Narrow" w:cs="Alegreya"/>
        </w:rPr>
      </w:pPr>
    </w:p>
    <w:p w14:paraId="2B6AF306" w14:textId="77777777" w:rsidR="003C44BA" w:rsidRPr="00531640" w:rsidRDefault="003C44BA">
      <w:pPr>
        <w:spacing w:after="0"/>
        <w:rPr>
          <w:rFonts w:ascii="Aptos Narrow" w:eastAsia="Alegreya" w:hAnsi="Aptos Narrow" w:cs="Alegreya"/>
        </w:rPr>
      </w:pPr>
    </w:p>
    <w:p w14:paraId="00000068" w14:textId="5856A05E" w:rsidR="00AD7388" w:rsidRDefault="00FF0518">
      <w:pPr>
        <w:spacing w:after="0"/>
        <w:rPr>
          <w:rFonts w:ascii="Aptos Narrow" w:eastAsia="Alegreya" w:hAnsi="Aptos Narrow" w:cs="Alegreya"/>
        </w:rPr>
      </w:pPr>
      <w:r>
        <w:rPr>
          <w:rFonts w:ascii="Aptos Narrow" w:eastAsia="Alegreya" w:hAnsi="Aptos Narrow" w:cs="Alegreya"/>
          <w:u w:val="single"/>
        </w:rPr>
        <w:t>Conclusion</w:t>
      </w:r>
    </w:p>
    <w:p w14:paraId="274DC3E8" w14:textId="77777777" w:rsidR="00FF0518" w:rsidRDefault="00FF0518">
      <w:pPr>
        <w:spacing w:after="0"/>
        <w:rPr>
          <w:rFonts w:ascii="Aptos Narrow" w:eastAsia="Alegreya" w:hAnsi="Aptos Narrow" w:cs="Alegreya"/>
        </w:rPr>
      </w:pPr>
    </w:p>
    <w:p w14:paraId="4C309674" w14:textId="7080B0E8" w:rsidR="00FF0518" w:rsidRDefault="00FF0518">
      <w:pPr>
        <w:spacing w:after="0"/>
        <w:rPr>
          <w:rFonts w:ascii="Aptos Narrow" w:eastAsia="Alegreya" w:hAnsi="Aptos Narrow" w:cs="Alegreya"/>
        </w:rPr>
      </w:pPr>
      <w:r>
        <w:rPr>
          <w:rFonts w:ascii="Aptos Narrow" w:eastAsia="Alegreya" w:hAnsi="Aptos Narrow" w:cs="Alegreya"/>
        </w:rPr>
        <w:t xml:space="preserve">While the importance of trusted and lasting relationships for </w:t>
      </w:r>
      <w:r w:rsidR="00F65FCC">
        <w:rPr>
          <w:rFonts w:ascii="Aptos Narrow" w:eastAsia="Alegreya" w:hAnsi="Aptos Narrow" w:cs="Alegreya"/>
        </w:rPr>
        <w:t xml:space="preserve">CYP </w:t>
      </w:r>
      <w:r>
        <w:rPr>
          <w:rFonts w:ascii="Aptos Narrow" w:eastAsia="Alegreya" w:hAnsi="Aptos Narrow" w:cs="Alegreya"/>
        </w:rPr>
        <w:t xml:space="preserve">in care has been widely noted, friendships are less often considered than relationships with family and professionals. In the author’s context of Scotland, </w:t>
      </w:r>
      <w:r w:rsidR="003C44BA">
        <w:rPr>
          <w:rFonts w:ascii="Aptos Narrow" w:eastAsia="Alegreya" w:hAnsi="Aptos Narrow" w:cs="Alegreya"/>
        </w:rPr>
        <w:t>The Promise</w:t>
      </w:r>
      <w:r w:rsidR="00303F3D">
        <w:rPr>
          <w:rFonts w:ascii="Aptos Narrow" w:eastAsia="Alegreya" w:hAnsi="Aptos Narrow" w:cs="Alegreya"/>
        </w:rPr>
        <w:t xml:space="preserve"> has prompted a national emphasis on relational practice within the care system and calls for ensuring </w:t>
      </w:r>
      <w:r w:rsidR="00F65FCC">
        <w:rPr>
          <w:rFonts w:ascii="Aptos Narrow" w:eastAsia="Alegreya" w:hAnsi="Aptos Narrow" w:cs="Alegreya"/>
        </w:rPr>
        <w:t xml:space="preserve">CYP </w:t>
      </w:r>
      <w:r w:rsidR="00303F3D">
        <w:rPr>
          <w:rFonts w:ascii="Aptos Narrow" w:eastAsia="Alegreya" w:hAnsi="Aptos Narrow" w:cs="Alegreya"/>
        </w:rPr>
        <w:t xml:space="preserve">in care have access to stable relationships and are supported to maintain the relationships they had before entering care (Independent Care Review, 2020). However, much of this emphasis is on keeping families, or at least siblings, together. Further, while there seems to be widespread acknowledgement by those working in care policy and practice that young people’s relationships are disrupted by the care system, friendships get far less attention than other foundational supports. </w:t>
      </w:r>
    </w:p>
    <w:p w14:paraId="76BB72D0" w14:textId="77777777" w:rsidR="00303F3D" w:rsidRDefault="00303F3D">
      <w:pPr>
        <w:spacing w:after="0"/>
        <w:rPr>
          <w:rFonts w:ascii="Aptos Narrow" w:eastAsia="Alegreya" w:hAnsi="Aptos Narrow" w:cs="Alegreya"/>
        </w:rPr>
      </w:pPr>
    </w:p>
    <w:p w14:paraId="3111276B" w14:textId="0DCDA51B" w:rsidR="00303F3D" w:rsidRDefault="00303F3D">
      <w:pPr>
        <w:spacing w:after="0"/>
        <w:rPr>
          <w:rFonts w:ascii="Aptos Narrow" w:eastAsia="Alegreya" w:hAnsi="Aptos Narrow" w:cs="Alegreya"/>
        </w:rPr>
      </w:pPr>
      <w:r>
        <w:rPr>
          <w:rFonts w:ascii="Aptos Narrow" w:eastAsia="Alegreya" w:hAnsi="Aptos Narrow" w:cs="Alegreya"/>
        </w:rPr>
        <w:t xml:space="preserve">This paper outlines the evidence that while there is sometimes a risk associated with young people in care spending time with friends, there is equally a risk associated with young people in care </w:t>
      </w:r>
      <w:r>
        <w:rPr>
          <w:rFonts w:ascii="Aptos Narrow" w:eastAsia="Alegreya" w:hAnsi="Aptos Narrow" w:cs="Alegreya"/>
          <w:i/>
          <w:iCs/>
        </w:rPr>
        <w:t>not</w:t>
      </w:r>
      <w:r>
        <w:rPr>
          <w:rFonts w:ascii="Aptos Narrow" w:eastAsia="Alegreya" w:hAnsi="Aptos Narrow" w:cs="Alegreya"/>
        </w:rPr>
        <w:t xml:space="preserve"> having friendships. Overprotective parenting practices from those working in the care system can create barriers to young people in care forming the same natural friendships that those living with their families are likely to have. While some types of risk-taking should certainly be intercepted, </w:t>
      </w:r>
      <w:r w:rsidR="007A2FAE">
        <w:rPr>
          <w:rFonts w:ascii="Aptos Narrow" w:eastAsia="Alegreya" w:hAnsi="Aptos Narrow" w:cs="Alegreya"/>
        </w:rPr>
        <w:t xml:space="preserve">especially </w:t>
      </w:r>
      <w:r>
        <w:rPr>
          <w:rFonts w:ascii="Aptos Narrow" w:eastAsia="Alegreya" w:hAnsi="Aptos Narrow" w:cs="Alegreya"/>
        </w:rPr>
        <w:t>those that can cause significant harm to the young person or others, workers</w:t>
      </w:r>
      <w:r w:rsidR="007A2FAE">
        <w:rPr>
          <w:rFonts w:ascii="Aptos Narrow" w:eastAsia="Alegreya" w:hAnsi="Aptos Narrow" w:cs="Alegreya"/>
        </w:rPr>
        <w:t xml:space="preserve"> and systems</w:t>
      </w:r>
      <w:r>
        <w:rPr>
          <w:rFonts w:ascii="Aptos Narrow" w:eastAsia="Alegreya" w:hAnsi="Aptos Narrow" w:cs="Alegreya"/>
        </w:rPr>
        <w:t xml:space="preserve"> may be too </w:t>
      </w:r>
      <w:r w:rsidR="00921E05">
        <w:rPr>
          <w:rFonts w:ascii="Aptos Narrow" w:eastAsia="Alegreya" w:hAnsi="Aptos Narrow" w:cs="Alegreya"/>
        </w:rPr>
        <w:t xml:space="preserve">quick at times to try to safeguard young people from normal developmental experiences. The combination of the perceived or actual vulnerability of young people in care, differences in adults’ and young people’s risk propensity, differences in what adults and young people consider to be risky, and the explicit or implied expectation of social care workers to protect young people in care from all possible harm, can result in young people in care having restrictions put on their friendships that their peers who are not looked after do not have. </w:t>
      </w:r>
    </w:p>
    <w:p w14:paraId="20373562" w14:textId="77777777" w:rsidR="00921E05" w:rsidRDefault="00921E05">
      <w:pPr>
        <w:spacing w:after="0"/>
        <w:rPr>
          <w:rFonts w:ascii="Aptos Narrow" w:eastAsia="Alegreya" w:hAnsi="Aptos Narrow" w:cs="Alegreya"/>
        </w:rPr>
      </w:pPr>
    </w:p>
    <w:p w14:paraId="1CE3A84D" w14:textId="3E216625" w:rsidR="00921E05" w:rsidRDefault="00921E05">
      <w:pPr>
        <w:spacing w:after="0"/>
        <w:rPr>
          <w:rFonts w:ascii="Aptos Narrow" w:eastAsia="Alegreya" w:hAnsi="Aptos Narrow" w:cs="Alegreya"/>
        </w:rPr>
      </w:pPr>
      <w:r>
        <w:rPr>
          <w:rFonts w:ascii="Aptos Narrow" w:eastAsia="Alegreya" w:hAnsi="Aptos Narrow" w:cs="Alegreya"/>
        </w:rPr>
        <w:t xml:space="preserve">Friends may pose a risk to young people by way of peer pressure and influence, and it is true that risk behaviour tends to increase in the presence of peers. However, recent evidence suggests that many adults overestimate the influence of peers on behaviour, especially in adolescence. Further, being influenced by peers and being able to manage negative peer influence effectively are both important aspects of social learning. Thus, rather than attempting to shield young people from friends that are potentially a “bad influence,” carers and staff should use these moments as opportunities to support young people to learn how to </w:t>
      </w:r>
      <w:r w:rsidR="00556D86">
        <w:rPr>
          <w:rFonts w:ascii="Aptos Narrow" w:eastAsia="Alegreya" w:hAnsi="Aptos Narrow" w:cs="Alegreya"/>
        </w:rPr>
        <w:t xml:space="preserve">independently </w:t>
      </w:r>
      <w:r>
        <w:rPr>
          <w:rFonts w:ascii="Aptos Narrow" w:eastAsia="Alegreya" w:hAnsi="Aptos Narrow" w:cs="Alegreya"/>
        </w:rPr>
        <w:t>manage conflicts of peer expectations, personal values, and wider social norms</w:t>
      </w:r>
      <w:r w:rsidR="00556D86">
        <w:rPr>
          <w:rFonts w:ascii="Aptos Narrow" w:eastAsia="Alegreya" w:hAnsi="Aptos Narrow" w:cs="Alegreya"/>
        </w:rPr>
        <w:t xml:space="preserve"> and responsibilities. </w:t>
      </w:r>
      <w:r w:rsidR="00573CDD">
        <w:rPr>
          <w:rFonts w:ascii="Aptos Narrow" w:eastAsia="Alegreya" w:hAnsi="Aptos Narrow" w:cs="Alegreya"/>
        </w:rPr>
        <w:t xml:space="preserve">In doing this effectively, it is important that the relationship between young person and carers is strong – this makes it more likely that they will value a carer’s input about friends (Knoester, 2006). </w:t>
      </w:r>
      <w:r w:rsidR="00556D86">
        <w:rPr>
          <w:rFonts w:ascii="Aptos Narrow" w:eastAsia="Alegreya" w:hAnsi="Aptos Narrow" w:cs="Alegreya"/>
        </w:rPr>
        <w:t xml:space="preserve">This is ultimately what will prepare them to navigate relationships and social dynamics throughout their life. Of course, if the young person is unable to protect themselves from particularly harmful influence, then adults may need to intervene. The point of necessary intervention will differ from young person to young person, but in deciding when to come between a young person and their friendships, it is crucial to weigh the risks of the present behaviours with the long-term risk of weakening social bonds. </w:t>
      </w:r>
    </w:p>
    <w:p w14:paraId="0FF14834" w14:textId="77777777" w:rsidR="00556D86" w:rsidRDefault="00556D86">
      <w:pPr>
        <w:spacing w:after="0"/>
        <w:rPr>
          <w:rFonts w:ascii="Aptos Narrow" w:eastAsia="Alegreya" w:hAnsi="Aptos Narrow" w:cs="Alegreya"/>
        </w:rPr>
      </w:pPr>
    </w:p>
    <w:p w14:paraId="5CD41F0F" w14:textId="094136BE" w:rsidR="00556D86" w:rsidRDefault="00556D86">
      <w:pPr>
        <w:spacing w:after="0"/>
        <w:rPr>
          <w:rFonts w:ascii="Aptos Narrow" w:eastAsia="Alegreya" w:hAnsi="Aptos Narrow" w:cs="Alegreya"/>
        </w:rPr>
      </w:pPr>
      <w:r>
        <w:rPr>
          <w:rFonts w:ascii="Aptos Narrow" w:eastAsia="Alegreya" w:hAnsi="Aptos Narrow" w:cs="Alegreya"/>
        </w:rPr>
        <w:t>Young people in care often have weaker social networks than their non-care-experienced peers, and those leaving the care system can become extremely isolated</w:t>
      </w:r>
      <w:r w:rsidR="00BC3094">
        <w:rPr>
          <w:rFonts w:ascii="Aptos Narrow" w:eastAsia="Alegreya" w:hAnsi="Aptos Narrow" w:cs="Alegreya"/>
        </w:rPr>
        <w:t xml:space="preserve">. Having friends is not only important to buffer the impacts of leaving care and having to live independently, but friendships are also crucial for overall development and long-term physical and mental health. For one, a lack of social relationships and friendships can negatively impact on social, moral, and identity development, possibly resulting in young people entering adulthood more vulnerable than others their age due to having a poorer self-concept and fewer opportunities to learn about themselves and others. Finally, as discussed throughout </w:t>
      </w:r>
      <w:r w:rsidR="00BC3094">
        <w:rPr>
          <w:rFonts w:ascii="Aptos Narrow" w:eastAsia="Alegreya" w:hAnsi="Aptos Narrow" w:cs="Alegreya"/>
        </w:rPr>
        <w:lastRenderedPageBreak/>
        <w:t>this paper, not having close friendships can increase the likelihood of mental health problems, such as anxiety and depression, as well as physical health concerns, including reduced life expectancy. This is quite a large risk to take when caring for</w:t>
      </w:r>
      <w:r w:rsidR="00F65FCC">
        <w:rPr>
          <w:rFonts w:ascii="Aptos Narrow" w:eastAsia="Alegreya" w:hAnsi="Aptos Narrow" w:cs="Alegreya"/>
        </w:rPr>
        <w:t xml:space="preserve"> CYP </w:t>
      </w:r>
      <w:r w:rsidR="00BC3094">
        <w:rPr>
          <w:rFonts w:ascii="Aptos Narrow" w:eastAsia="Alegreya" w:hAnsi="Aptos Narrow" w:cs="Alegreya"/>
        </w:rPr>
        <w:t xml:space="preserve">and working to prepare them for a positive future.  </w:t>
      </w:r>
    </w:p>
    <w:p w14:paraId="7A82F8D2" w14:textId="77777777" w:rsidR="00303F3D" w:rsidRPr="00303F3D" w:rsidRDefault="00303F3D">
      <w:pPr>
        <w:spacing w:after="0"/>
        <w:rPr>
          <w:rFonts w:ascii="Aptos Narrow" w:eastAsia="Alegreya" w:hAnsi="Aptos Narrow" w:cs="Alegreya"/>
        </w:rPr>
      </w:pPr>
    </w:p>
    <w:p w14:paraId="1EB945CE" w14:textId="77777777" w:rsidR="00FF0518" w:rsidRPr="00531640" w:rsidRDefault="00FF0518">
      <w:pPr>
        <w:spacing w:after="0"/>
        <w:rPr>
          <w:rFonts w:ascii="Aptos Narrow" w:eastAsia="Alegreya" w:hAnsi="Aptos Narrow" w:cs="Alegreya"/>
        </w:rPr>
      </w:pPr>
    </w:p>
    <w:p w14:paraId="00000069" w14:textId="77777777" w:rsidR="00AD7388" w:rsidRPr="00531640" w:rsidRDefault="00B83410">
      <w:pPr>
        <w:spacing w:after="0"/>
        <w:rPr>
          <w:rFonts w:ascii="Aptos Narrow" w:eastAsia="Alegreya" w:hAnsi="Aptos Narrow" w:cs="Alegreya"/>
        </w:rPr>
      </w:pPr>
      <w:r w:rsidRPr="00531640">
        <w:rPr>
          <w:rFonts w:ascii="Aptos Narrow" w:eastAsia="Alegreya" w:hAnsi="Aptos Narrow" w:cs="Alegreya"/>
          <w:i/>
        </w:rPr>
        <w:t>Limitations in Practice</w:t>
      </w:r>
    </w:p>
    <w:p w14:paraId="0000006A" w14:textId="77777777" w:rsidR="00AD7388" w:rsidRDefault="00AD7388">
      <w:pPr>
        <w:spacing w:after="0"/>
        <w:rPr>
          <w:rFonts w:ascii="Aptos Narrow" w:eastAsia="Alegreya" w:hAnsi="Aptos Narrow" w:cs="Alegreya"/>
        </w:rPr>
      </w:pPr>
    </w:p>
    <w:p w14:paraId="504F0447" w14:textId="664CB4ED" w:rsidR="007773C2" w:rsidRDefault="007773C2" w:rsidP="007773C2">
      <w:pPr>
        <w:spacing w:after="0"/>
        <w:rPr>
          <w:rFonts w:ascii="Aptos Narrow" w:eastAsia="Alegreya" w:hAnsi="Aptos Narrow" w:cs="Alegreya"/>
        </w:rPr>
      </w:pPr>
      <w:r w:rsidRPr="00531640">
        <w:rPr>
          <w:rFonts w:ascii="Aptos Narrow" w:eastAsia="Alegreya" w:hAnsi="Aptos Narrow" w:cs="Alegreya"/>
        </w:rPr>
        <w:t>Despite the effectiveness of contextual safeguarding approaches</w:t>
      </w:r>
      <w:r w:rsidR="0041142C">
        <w:rPr>
          <w:rFonts w:ascii="Aptos Narrow" w:eastAsia="Alegreya" w:hAnsi="Aptos Narrow" w:cs="Alegreya"/>
        </w:rPr>
        <w:t xml:space="preserve"> that involve the friends and social networks of </w:t>
      </w:r>
      <w:r w:rsidR="00F65FCC">
        <w:rPr>
          <w:rFonts w:ascii="Aptos Narrow" w:eastAsia="Alegreya" w:hAnsi="Aptos Narrow" w:cs="Alegreya"/>
        </w:rPr>
        <w:t xml:space="preserve">CYP </w:t>
      </w:r>
      <w:r w:rsidR="0041142C">
        <w:rPr>
          <w:rFonts w:ascii="Aptos Narrow" w:eastAsia="Alegreya" w:hAnsi="Aptos Narrow" w:cs="Alegreya"/>
        </w:rPr>
        <w:t>in care</w:t>
      </w:r>
      <w:r w:rsidRPr="00531640">
        <w:rPr>
          <w:rFonts w:ascii="Aptos Narrow" w:eastAsia="Alegreya" w:hAnsi="Aptos Narrow" w:cs="Alegreya"/>
        </w:rPr>
        <w:t>, without support at the wider systemic level and at the organisational</w:t>
      </w:r>
      <w:r w:rsidR="0041142C">
        <w:rPr>
          <w:rFonts w:ascii="Aptos Narrow" w:eastAsia="Alegreya" w:hAnsi="Aptos Narrow" w:cs="Alegreya"/>
        </w:rPr>
        <w:t>-</w:t>
      </w:r>
      <w:r w:rsidRPr="00531640">
        <w:rPr>
          <w:rFonts w:ascii="Aptos Narrow" w:eastAsia="Alegreya" w:hAnsi="Aptos Narrow" w:cs="Alegreya"/>
        </w:rPr>
        <w:t xml:space="preserve">cultural level to implement such approaches, workers may be putting themselves and their jobs at risk by delivering this type of relationship-based practice (Lloyd et al, 2023). </w:t>
      </w:r>
      <w:r w:rsidR="00F47594">
        <w:rPr>
          <w:rFonts w:ascii="Aptos Narrow" w:eastAsia="Alegreya" w:hAnsi="Aptos Narrow" w:cs="Alegreya"/>
        </w:rPr>
        <w:t xml:space="preserve">For instance, Day (2023) evidenced the difficulty that youth justice workers in England experience when trying to work within the dichotomy of managing risk and centring the child. The author describes how professionals working with young people who are engaging in crime and/or risk behaviours are expected to prevent all harm to the young person and others in the community who that young person could potentially put at risk, while </w:t>
      </w:r>
      <w:r w:rsidR="0041142C">
        <w:rPr>
          <w:rFonts w:ascii="Aptos Narrow" w:eastAsia="Alegreya" w:hAnsi="Aptos Narrow" w:cs="Alegreya"/>
        </w:rPr>
        <w:t xml:space="preserve">still keeping the child’s needs and happiness at the forefront. Realistically, when young people are in the developmental stage when independence, friendships, and “trying things out” become central to their lives, it is not possible to put </w:t>
      </w:r>
      <w:r w:rsidR="00F65FCC">
        <w:rPr>
          <w:rFonts w:ascii="Aptos Narrow" w:eastAsia="Alegreya" w:hAnsi="Aptos Narrow" w:cs="Alegreya"/>
        </w:rPr>
        <w:t xml:space="preserve">CYP </w:t>
      </w:r>
      <w:r w:rsidR="0041142C">
        <w:rPr>
          <w:rFonts w:ascii="Aptos Narrow" w:eastAsia="Alegreya" w:hAnsi="Aptos Narrow" w:cs="Alegreya"/>
        </w:rPr>
        <w:t xml:space="preserve">first while making certain that they will not be at any risk. Therefore, many “on the ground” workers are put in a very precarious position as they try to honour the needs of young people and the needs of their organisations and wider policies. If the friendships of care-experienced young people are going to be given the value and consideration that they deserve, social care policies and practices need to create an environment in which this can happen. </w:t>
      </w:r>
    </w:p>
    <w:p w14:paraId="109EA297" w14:textId="77777777" w:rsidR="0041142C" w:rsidRPr="00531640" w:rsidRDefault="0041142C" w:rsidP="007773C2">
      <w:pPr>
        <w:spacing w:after="0"/>
        <w:rPr>
          <w:rFonts w:ascii="Aptos Narrow" w:eastAsia="Alegreya" w:hAnsi="Aptos Narrow" w:cs="Alegreya"/>
        </w:rPr>
      </w:pPr>
    </w:p>
    <w:p w14:paraId="00000070" w14:textId="77777777" w:rsidR="00AD7388" w:rsidRPr="00531640" w:rsidRDefault="00AD7388">
      <w:pPr>
        <w:spacing w:after="0"/>
        <w:rPr>
          <w:rFonts w:ascii="Aptos Narrow" w:eastAsia="Alegreya" w:hAnsi="Aptos Narrow" w:cs="Alegreya"/>
        </w:rPr>
      </w:pPr>
    </w:p>
    <w:p w14:paraId="00000071" w14:textId="77777777" w:rsidR="00AD7388" w:rsidRDefault="00AD7388">
      <w:pPr>
        <w:spacing w:after="0"/>
        <w:rPr>
          <w:rFonts w:ascii="Aptos Narrow" w:eastAsia="Alegreya" w:hAnsi="Aptos Narrow" w:cs="Alegreya"/>
        </w:rPr>
      </w:pPr>
    </w:p>
    <w:p w14:paraId="19923196" w14:textId="77777777" w:rsidR="007E0A75" w:rsidRDefault="007E0A75">
      <w:pPr>
        <w:spacing w:after="0"/>
        <w:rPr>
          <w:rFonts w:ascii="Aptos Narrow" w:eastAsia="Alegreya" w:hAnsi="Aptos Narrow" w:cs="Alegreya"/>
        </w:rPr>
      </w:pPr>
    </w:p>
    <w:p w14:paraId="40521121" w14:textId="77777777" w:rsidR="007E0A75" w:rsidRDefault="007E0A75">
      <w:pPr>
        <w:spacing w:after="0"/>
        <w:rPr>
          <w:rFonts w:ascii="Aptos Narrow" w:eastAsia="Alegreya" w:hAnsi="Aptos Narrow" w:cs="Alegreya"/>
        </w:rPr>
      </w:pPr>
    </w:p>
    <w:p w14:paraId="597FBD2C" w14:textId="77777777" w:rsidR="007E0A75" w:rsidRDefault="007E0A75">
      <w:pPr>
        <w:spacing w:after="0"/>
        <w:rPr>
          <w:rFonts w:ascii="Aptos Narrow" w:eastAsia="Alegreya" w:hAnsi="Aptos Narrow" w:cs="Alegreya"/>
        </w:rPr>
      </w:pPr>
    </w:p>
    <w:p w14:paraId="6AF3A107" w14:textId="77777777" w:rsidR="007E0A75" w:rsidRDefault="007E0A75">
      <w:pPr>
        <w:spacing w:after="0"/>
        <w:rPr>
          <w:rFonts w:ascii="Aptos Narrow" w:eastAsia="Alegreya" w:hAnsi="Aptos Narrow" w:cs="Alegreya"/>
        </w:rPr>
      </w:pPr>
    </w:p>
    <w:p w14:paraId="7AB3BBD2" w14:textId="77777777" w:rsidR="007E0A75" w:rsidRDefault="007E0A75">
      <w:pPr>
        <w:spacing w:after="0"/>
        <w:rPr>
          <w:rFonts w:ascii="Aptos Narrow" w:eastAsia="Alegreya" w:hAnsi="Aptos Narrow" w:cs="Alegreya"/>
        </w:rPr>
      </w:pPr>
    </w:p>
    <w:p w14:paraId="20ABC574" w14:textId="77777777" w:rsidR="007E0A75" w:rsidRDefault="007E0A75">
      <w:pPr>
        <w:spacing w:after="0"/>
        <w:rPr>
          <w:rFonts w:ascii="Aptos Narrow" w:eastAsia="Alegreya" w:hAnsi="Aptos Narrow" w:cs="Alegreya"/>
        </w:rPr>
      </w:pPr>
    </w:p>
    <w:p w14:paraId="5EC0EA18" w14:textId="77777777" w:rsidR="007E0A75" w:rsidRDefault="007E0A75">
      <w:pPr>
        <w:spacing w:after="0"/>
        <w:rPr>
          <w:rFonts w:ascii="Aptos Narrow" w:eastAsia="Alegreya" w:hAnsi="Aptos Narrow" w:cs="Alegreya"/>
        </w:rPr>
      </w:pPr>
    </w:p>
    <w:p w14:paraId="4C3E0138" w14:textId="77777777" w:rsidR="007E0A75" w:rsidRDefault="007E0A75">
      <w:pPr>
        <w:spacing w:after="0"/>
        <w:rPr>
          <w:rFonts w:ascii="Aptos Narrow" w:eastAsia="Alegreya" w:hAnsi="Aptos Narrow" w:cs="Alegreya"/>
        </w:rPr>
      </w:pPr>
    </w:p>
    <w:p w14:paraId="7DCC9053" w14:textId="77777777" w:rsidR="007E0A75" w:rsidRDefault="007E0A75">
      <w:pPr>
        <w:spacing w:after="0"/>
        <w:rPr>
          <w:rFonts w:ascii="Aptos Narrow" w:eastAsia="Alegreya" w:hAnsi="Aptos Narrow" w:cs="Alegreya"/>
        </w:rPr>
      </w:pPr>
    </w:p>
    <w:p w14:paraId="77217D81" w14:textId="77777777" w:rsidR="007E0A75" w:rsidRDefault="007E0A75">
      <w:pPr>
        <w:spacing w:after="0"/>
        <w:rPr>
          <w:rFonts w:ascii="Aptos Narrow" w:eastAsia="Alegreya" w:hAnsi="Aptos Narrow" w:cs="Alegreya"/>
        </w:rPr>
      </w:pPr>
    </w:p>
    <w:p w14:paraId="47A18844" w14:textId="77777777" w:rsidR="007E0A75" w:rsidRDefault="007E0A75">
      <w:pPr>
        <w:spacing w:after="0"/>
        <w:rPr>
          <w:rFonts w:ascii="Aptos Narrow" w:eastAsia="Alegreya" w:hAnsi="Aptos Narrow" w:cs="Alegreya"/>
        </w:rPr>
      </w:pPr>
    </w:p>
    <w:p w14:paraId="549FB705" w14:textId="77777777" w:rsidR="007E0A75" w:rsidRDefault="007E0A75">
      <w:pPr>
        <w:spacing w:after="0"/>
        <w:rPr>
          <w:rFonts w:ascii="Aptos Narrow" w:eastAsia="Alegreya" w:hAnsi="Aptos Narrow" w:cs="Alegreya"/>
        </w:rPr>
      </w:pPr>
    </w:p>
    <w:p w14:paraId="5C397591" w14:textId="77777777" w:rsidR="007E0A75" w:rsidRDefault="007E0A75">
      <w:pPr>
        <w:spacing w:after="0"/>
        <w:rPr>
          <w:rFonts w:ascii="Aptos Narrow" w:eastAsia="Alegreya" w:hAnsi="Aptos Narrow" w:cs="Alegreya"/>
        </w:rPr>
      </w:pPr>
    </w:p>
    <w:p w14:paraId="3B0339A6" w14:textId="77777777" w:rsidR="007E0A75" w:rsidRDefault="007E0A75">
      <w:pPr>
        <w:spacing w:after="0"/>
        <w:rPr>
          <w:rFonts w:ascii="Aptos Narrow" w:eastAsia="Alegreya" w:hAnsi="Aptos Narrow" w:cs="Alegreya"/>
        </w:rPr>
      </w:pPr>
    </w:p>
    <w:p w14:paraId="4CACAAE2" w14:textId="77777777" w:rsidR="007E0A75" w:rsidRDefault="007E0A75">
      <w:pPr>
        <w:spacing w:after="0"/>
        <w:rPr>
          <w:rFonts w:ascii="Aptos Narrow" w:eastAsia="Alegreya" w:hAnsi="Aptos Narrow" w:cs="Alegreya"/>
        </w:rPr>
      </w:pPr>
    </w:p>
    <w:p w14:paraId="6EB17559" w14:textId="77777777" w:rsidR="007E0A75" w:rsidRDefault="007E0A75">
      <w:pPr>
        <w:spacing w:after="0"/>
        <w:rPr>
          <w:rFonts w:ascii="Aptos Narrow" w:eastAsia="Alegreya" w:hAnsi="Aptos Narrow" w:cs="Alegreya"/>
        </w:rPr>
      </w:pPr>
    </w:p>
    <w:p w14:paraId="1212ECA1" w14:textId="77777777" w:rsidR="007E0A75" w:rsidRDefault="007E0A75">
      <w:pPr>
        <w:spacing w:after="0"/>
        <w:rPr>
          <w:rFonts w:ascii="Aptos Narrow" w:eastAsia="Alegreya" w:hAnsi="Aptos Narrow" w:cs="Alegreya"/>
        </w:rPr>
      </w:pPr>
    </w:p>
    <w:p w14:paraId="2C6BE35C" w14:textId="77777777" w:rsidR="007E0A75" w:rsidRDefault="007E0A75">
      <w:pPr>
        <w:spacing w:after="0"/>
        <w:rPr>
          <w:rFonts w:ascii="Aptos Narrow" w:eastAsia="Alegreya" w:hAnsi="Aptos Narrow" w:cs="Alegreya"/>
        </w:rPr>
      </w:pPr>
    </w:p>
    <w:p w14:paraId="4B1D1B34" w14:textId="77777777" w:rsidR="007E0A75" w:rsidRDefault="007E0A75">
      <w:pPr>
        <w:spacing w:after="0"/>
        <w:rPr>
          <w:rFonts w:ascii="Aptos Narrow" w:eastAsia="Alegreya" w:hAnsi="Aptos Narrow" w:cs="Alegreya"/>
        </w:rPr>
      </w:pPr>
    </w:p>
    <w:p w14:paraId="1D79223B" w14:textId="77777777" w:rsidR="007E0A75" w:rsidRDefault="007E0A75">
      <w:pPr>
        <w:spacing w:after="0"/>
        <w:rPr>
          <w:rFonts w:ascii="Aptos Narrow" w:eastAsia="Alegreya" w:hAnsi="Aptos Narrow" w:cs="Alegreya"/>
        </w:rPr>
      </w:pPr>
    </w:p>
    <w:p w14:paraId="14AED094" w14:textId="77777777" w:rsidR="007E0A75" w:rsidRDefault="007E0A75">
      <w:pPr>
        <w:spacing w:after="0"/>
        <w:rPr>
          <w:rFonts w:ascii="Aptos Narrow" w:eastAsia="Alegreya" w:hAnsi="Aptos Narrow" w:cs="Alegreya"/>
        </w:rPr>
      </w:pPr>
    </w:p>
    <w:p w14:paraId="22241BBF" w14:textId="77777777" w:rsidR="007E0A75" w:rsidRDefault="007E0A75">
      <w:pPr>
        <w:spacing w:after="0"/>
        <w:rPr>
          <w:rFonts w:ascii="Aptos Narrow" w:eastAsia="Alegreya" w:hAnsi="Aptos Narrow" w:cs="Alegreya"/>
        </w:rPr>
      </w:pPr>
    </w:p>
    <w:p w14:paraId="3B5676E6" w14:textId="77777777" w:rsidR="007E0A75" w:rsidRDefault="007E0A75">
      <w:pPr>
        <w:spacing w:after="0"/>
        <w:rPr>
          <w:rFonts w:ascii="Aptos Narrow" w:eastAsia="Alegreya" w:hAnsi="Aptos Narrow" w:cs="Alegreya"/>
        </w:rPr>
      </w:pPr>
    </w:p>
    <w:p w14:paraId="77D181AB" w14:textId="77777777" w:rsidR="007E0A75" w:rsidRDefault="007E0A75">
      <w:pPr>
        <w:spacing w:after="0"/>
        <w:rPr>
          <w:rFonts w:ascii="Aptos Narrow" w:eastAsia="Alegreya" w:hAnsi="Aptos Narrow" w:cs="Alegreya"/>
        </w:rPr>
      </w:pPr>
    </w:p>
    <w:p w14:paraId="34239950" w14:textId="77777777" w:rsidR="007E0A75" w:rsidRDefault="007E0A75">
      <w:pPr>
        <w:spacing w:after="0"/>
        <w:rPr>
          <w:rFonts w:ascii="Aptos Narrow" w:eastAsia="Alegreya" w:hAnsi="Aptos Narrow" w:cs="Alegreya"/>
        </w:rPr>
      </w:pPr>
    </w:p>
    <w:p w14:paraId="7F5A8BAF" w14:textId="77777777" w:rsidR="007E0A75" w:rsidRDefault="007E0A75">
      <w:pPr>
        <w:spacing w:after="0"/>
        <w:rPr>
          <w:rFonts w:ascii="Aptos Narrow" w:eastAsia="Alegreya" w:hAnsi="Aptos Narrow" w:cs="Alegreya"/>
        </w:rPr>
      </w:pPr>
    </w:p>
    <w:p w14:paraId="577F517D" w14:textId="77777777" w:rsidR="007E0A75" w:rsidRDefault="007E0A75">
      <w:pPr>
        <w:spacing w:after="0"/>
        <w:rPr>
          <w:rFonts w:ascii="Aptos Narrow" w:eastAsia="Alegreya" w:hAnsi="Aptos Narrow" w:cs="Alegreya"/>
        </w:rPr>
      </w:pPr>
    </w:p>
    <w:p w14:paraId="4817AFE9" w14:textId="77777777" w:rsidR="007E0A75" w:rsidRDefault="007E0A75">
      <w:pPr>
        <w:spacing w:after="0"/>
        <w:rPr>
          <w:rFonts w:ascii="Aptos Narrow" w:eastAsia="Alegreya" w:hAnsi="Aptos Narrow" w:cs="Alegreya"/>
        </w:rPr>
      </w:pPr>
    </w:p>
    <w:p w14:paraId="6900685A" w14:textId="77777777" w:rsidR="007E0A75" w:rsidRDefault="007E0A75">
      <w:pPr>
        <w:spacing w:after="0"/>
        <w:rPr>
          <w:rFonts w:ascii="Aptos Narrow" w:eastAsia="Alegreya" w:hAnsi="Aptos Narrow" w:cs="Alegreya"/>
        </w:rPr>
      </w:pPr>
    </w:p>
    <w:p w14:paraId="06267D99" w14:textId="77777777" w:rsidR="007E0A75" w:rsidRPr="00531640" w:rsidRDefault="007E0A75">
      <w:pPr>
        <w:spacing w:after="0"/>
        <w:rPr>
          <w:rFonts w:ascii="Aptos Narrow" w:eastAsia="Alegreya" w:hAnsi="Aptos Narrow" w:cs="Alegreya"/>
        </w:rPr>
      </w:pPr>
    </w:p>
    <w:p w14:paraId="00000072" w14:textId="77777777" w:rsidR="00AD7388" w:rsidRPr="00531640" w:rsidRDefault="00B83410">
      <w:pPr>
        <w:spacing w:after="0" w:line="240" w:lineRule="auto"/>
        <w:jc w:val="center"/>
        <w:rPr>
          <w:rFonts w:ascii="Aptos Narrow" w:eastAsia="Alegreya" w:hAnsi="Aptos Narrow" w:cs="Alegreya"/>
        </w:rPr>
      </w:pPr>
      <w:r w:rsidRPr="00531640">
        <w:rPr>
          <w:rFonts w:ascii="Aptos Narrow" w:eastAsia="Alegreya" w:hAnsi="Aptos Narrow" w:cs="Alegreya"/>
          <w:b/>
          <w:color w:val="000000"/>
        </w:rPr>
        <w:lastRenderedPageBreak/>
        <w:t>References</w:t>
      </w:r>
    </w:p>
    <w:p w14:paraId="00000073" w14:textId="77777777" w:rsidR="00AD7388" w:rsidRPr="009F0DEE" w:rsidRDefault="00AD7388">
      <w:pPr>
        <w:spacing w:after="0" w:line="240" w:lineRule="auto"/>
        <w:rPr>
          <w:rFonts w:ascii="Aptos Narrow" w:eastAsia="Alegreya" w:hAnsi="Aptos Narrow" w:cs="Alegreya"/>
        </w:rPr>
      </w:pPr>
    </w:p>
    <w:p w14:paraId="00000074" w14:textId="77777777" w:rsidR="00AD7388" w:rsidRPr="009F0DEE" w:rsidRDefault="00B83410">
      <w:pPr>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 xml:space="preserve">Allemand, M., Steiger, A. E., Fend, H. A. (2014). Empathy development in adolescence predicts social competencies in adulthood. </w:t>
      </w:r>
      <w:r w:rsidRPr="009F0DEE">
        <w:rPr>
          <w:rFonts w:ascii="Aptos Narrow" w:eastAsia="Alegreya" w:hAnsi="Aptos Narrow" w:cs="Alegreya"/>
          <w:i/>
          <w:sz w:val="18"/>
          <w:szCs w:val="18"/>
        </w:rPr>
        <w:t xml:space="preserve">Journal of </w:t>
      </w:r>
    </w:p>
    <w:p w14:paraId="00000075" w14:textId="77777777" w:rsidR="00AD7388" w:rsidRPr="009F0DEE" w:rsidRDefault="00B8341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Personality, 83</w:t>
      </w:r>
      <w:r w:rsidRPr="009F0DEE">
        <w:rPr>
          <w:rFonts w:ascii="Aptos Narrow" w:eastAsia="Alegreya" w:hAnsi="Aptos Narrow" w:cs="Alegreya"/>
          <w:sz w:val="18"/>
          <w:szCs w:val="18"/>
        </w:rPr>
        <w:t xml:space="preserve">(2), 229-241. </w:t>
      </w:r>
      <w:hyperlink r:id="rId6">
        <w:r w:rsidR="00AD7388" w:rsidRPr="009F0DEE">
          <w:rPr>
            <w:rFonts w:ascii="Aptos Narrow" w:eastAsia="Alegreya" w:hAnsi="Aptos Narrow" w:cs="Alegreya"/>
            <w:color w:val="1155CC"/>
            <w:sz w:val="18"/>
            <w:szCs w:val="18"/>
            <w:u w:val="single"/>
          </w:rPr>
          <w:t>https://doi.org/10.1111/jopy.12098</w:t>
        </w:r>
      </w:hyperlink>
      <w:r w:rsidRPr="009F0DEE">
        <w:rPr>
          <w:rFonts w:ascii="Aptos Narrow" w:eastAsia="Alegreya" w:hAnsi="Aptos Narrow" w:cs="Alegreya"/>
          <w:sz w:val="18"/>
          <w:szCs w:val="18"/>
        </w:rPr>
        <w:t xml:space="preserve"> </w:t>
      </w:r>
    </w:p>
    <w:p w14:paraId="00000076" w14:textId="77777777" w:rsidR="00AD7388" w:rsidRPr="009F0DEE" w:rsidRDefault="00B83410">
      <w:pPr>
        <w:spacing w:after="0" w:line="240" w:lineRule="auto"/>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 xml:space="preserve">Allen, J. P. (2024). Rethinking peer influence and risk taking: A strengths-based approach to adolescence in a new era. </w:t>
      </w:r>
      <w:r w:rsidRPr="009F0DEE">
        <w:rPr>
          <w:rFonts w:ascii="Aptos Narrow" w:eastAsia="Alegreya" w:hAnsi="Aptos Narrow" w:cs="Alegreya"/>
          <w:i/>
          <w:color w:val="000000"/>
          <w:sz w:val="18"/>
          <w:szCs w:val="18"/>
        </w:rPr>
        <w:t xml:space="preserve">Developmental </w:t>
      </w:r>
    </w:p>
    <w:p w14:paraId="00000077" w14:textId="77777777" w:rsidR="00AD7388" w:rsidRPr="009F0DEE" w:rsidRDefault="00B8341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color w:val="000000"/>
          <w:sz w:val="18"/>
          <w:szCs w:val="18"/>
        </w:rPr>
        <w:t>Psychopathology, 36</w:t>
      </w:r>
      <w:r w:rsidRPr="009F0DEE">
        <w:rPr>
          <w:rFonts w:ascii="Aptos Narrow" w:eastAsia="Alegreya" w:hAnsi="Aptos Narrow" w:cs="Alegreya"/>
          <w:color w:val="000000"/>
          <w:sz w:val="18"/>
          <w:szCs w:val="18"/>
        </w:rPr>
        <w:t>(5), 2244-2255. </w:t>
      </w:r>
      <w:hyperlink r:id="rId7">
        <w:r w:rsidR="00AD7388" w:rsidRPr="009F0DEE">
          <w:rPr>
            <w:rFonts w:ascii="Aptos Narrow" w:eastAsia="Alegreya" w:hAnsi="Aptos Narrow" w:cs="Alegreya"/>
            <w:color w:val="467886"/>
            <w:sz w:val="18"/>
            <w:szCs w:val="18"/>
            <w:u w:val="single"/>
          </w:rPr>
          <w:t>https://doi.org/10.1017/S0954579424000877</w:t>
        </w:r>
      </w:hyperlink>
      <w:r w:rsidRPr="009F0DEE">
        <w:rPr>
          <w:rFonts w:ascii="Aptos Narrow" w:eastAsia="Alegreya" w:hAnsi="Aptos Narrow" w:cs="Alegreya"/>
          <w:color w:val="000000"/>
          <w:sz w:val="18"/>
          <w:szCs w:val="18"/>
        </w:rPr>
        <w:t>. </w:t>
      </w:r>
    </w:p>
    <w:p w14:paraId="00000078" w14:textId="77777777" w:rsidR="00AD7388" w:rsidRPr="009F0DEE" w:rsidRDefault="00B8341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Allen, J. P., Costello, M. A., Hellwig, A. F., Stern, J. A. (2025). Pathways from adolescent close friendship struggles to adult negative affectivity. </w:t>
      </w:r>
    </w:p>
    <w:p w14:paraId="00000079" w14:textId="77777777" w:rsidR="00AD7388" w:rsidRPr="009F0DEE" w:rsidRDefault="00B8341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Development and Psychopathology, 37</w:t>
      </w:r>
      <w:r w:rsidRPr="009F0DEE">
        <w:rPr>
          <w:rFonts w:ascii="Aptos Narrow" w:eastAsia="Alegreya" w:hAnsi="Aptos Narrow" w:cs="Alegreya"/>
          <w:sz w:val="18"/>
          <w:szCs w:val="18"/>
        </w:rPr>
        <w:t xml:space="preserve">, 241-250. </w:t>
      </w:r>
      <w:hyperlink r:id="rId8">
        <w:r w:rsidR="00AD7388" w:rsidRPr="009F0DEE">
          <w:rPr>
            <w:rFonts w:ascii="Aptos Narrow" w:eastAsia="Alegreya" w:hAnsi="Aptos Narrow" w:cs="Alegreya"/>
            <w:color w:val="1155CC"/>
            <w:sz w:val="18"/>
            <w:szCs w:val="18"/>
            <w:u w:val="single"/>
          </w:rPr>
          <w:t>https://doi.org/10.1017/50954579423001542</w:t>
        </w:r>
      </w:hyperlink>
      <w:r w:rsidRPr="009F0DEE">
        <w:rPr>
          <w:rFonts w:ascii="Aptos Narrow" w:eastAsia="Alegreya" w:hAnsi="Aptos Narrow" w:cs="Alegreya"/>
          <w:sz w:val="18"/>
          <w:szCs w:val="18"/>
        </w:rPr>
        <w:t xml:space="preserve"> </w:t>
      </w:r>
    </w:p>
    <w:p w14:paraId="0000007A" w14:textId="77777777" w:rsidR="00AD7388" w:rsidRPr="009F0DEE" w:rsidRDefault="00B83410">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Allen, J. P., Costello, M. A., Hellwig, A. F., Pettit, C., Stern, J. A., &amp; Uchino, B. N. (2023). Adolescent caregiving success as a predictor of social </w:t>
      </w:r>
    </w:p>
    <w:p w14:paraId="0000007B" w14:textId="77777777" w:rsidR="00AD7388" w:rsidRPr="009F0DEE" w:rsidRDefault="00B8341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color w:val="000000"/>
          <w:sz w:val="18"/>
          <w:szCs w:val="18"/>
        </w:rPr>
        <w:t xml:space="preserve">functioning from ages 13 to 33. </w:t>
      </w:r>
      <w:r w:rsidRPr="009F0DEE">
        <w:rPr>
          <w:rFonts w:ascii="Aptos Narrow" w:eastAsia="Alegreya" w:hAnsi="Aptos Narrow" w:cs="Alegreya"/>
          <w:i/>
          <w:color w:val="000000"/>
          <w:sz w:val="18"/>
          <w:szCs w:val="18"/>
        </w:rPr>
        <w:t>Child Development, 94</w:t>
      </w:r>
      <w:r w:rsidRPr="009F0DEE">
        <w:rPr>
          <w:rFonts w:ascii="Aptos Narrow" w:eastAsia="Alegreya" w:hAnsi="Aptos Narrow" w:cs="Alegreya"/>
          <w:color w:val="000000"/>
          <w:sz w:val="18"/>
          <w:szCs w:val="18"/>
        </w:rPr>
        <w:t xml:space="preserve">(6), 1610–1624. </w:t>
      </w:r>
      <w:hyperlink r:id="rId9">
        <w:r w:rsidR="00AD7388" w:rsidRPr="009F0DEE">
          <w:rPr>
            <w:rFonts w:ascii="Aptos Narrow" w:eastAsia="Alegreya" w:hAnsi="Aptos Narrow" w:cs="Alegreya"/>
            <w:color w:val="467886"/>
            <w:sz w:val="18"/>
            <w:szCs w:val="18"/>
            <w:u w:val="single"/>
          </w:rPr>
          <w:t>https://doi.org/10.1111/cdev.13936</w:t>
        </w:r>
      </w:hyperlink>
      <w:r w:rsidRPr="009F0DEE">
        <w:rPr>
          <w:rFonts w:ascii="Aptos Narrow" w:eastAsia="Alegreya" w:hAnsi="Aptos Narrow" w:cs="Alegreya"/>
          <w:color w:val="000000"/>
          <w:sz w:val="18"/>
          <w:szCs w:val="18"/>
        </w:rPr>
        <w:t>. </w:t>
      </w:r>
    </w:p>
    <w:p w14:paraId="0000007C" w14:textId="77777777" w:rsidR="00AD7388" w:rsidRPr="009F0DEE" w:rsidRDefault="00B83410">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Allen, J. P., Costello, M., Kansky, J., Loeb, E. L. (2022). When friendships surpass parental relationships as predictors of long-term outcomes: </w:t>
      </w:r>
    </w:p>
    <w:p w14:paraId="0000007D" w14:textId="77777777" w:rsidR="00AD7388" w:rsidRPr="009F0DEE" w:rsidRDefault="00B83410">
      <w:pPr>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Adolescent relationship qualities and adult psychosocial functioning. </w:t>
      </w:r>
      <w:r w:rsidRPr="009F0DEE">
        <w:rPr>
          <w:rFonts w:ascii="Aptos Narrow" w:eastAsia="Alegreya" w:hAnsi="Aptos Narrow" w:cs="Alegreya"/>
          <w:i/>
          <w:color w:val="000000"/>
          <w:sz w:val="18"/>
          <w:szCs w:val="18"/>
        </w:rPr>
        <w:t>Child Development, 93</w:t>
      </w:r>
      <w:r w:rsidRPr="009F0DEE">
        <w:rPr>
          <w:rFonts w:ascii="Aptos Narrow" w:eastAsia="Alegreya" w:hAnsi="Aptos Narrow" w:cs="Alegreya"/>
          <w:color w:val="000000"/>
          <w:sz w:val="18"/>
          <w:szCs w:val="18"/>
        </w:rPr>
        <w:t xml:space="preserve">(3), 760-777. </w:t>
      </w:r>
    </w:p>
    <w:p w14:paraId="0000007E" w14:textId="77777777" w:rsidR="00AD7388" w:rsidRPr="009F0DEE" w:rsidRDefault="00AD7388">
      <w:pPr>
        <w:spacing w:after="0" w:line="240" w:lineRule="auto"/>
        <w:ind w:firstLine="720"/>
        <w:rPr>
          <w:rFonts w:ascii="Aptos Narrow" w:eastAsia="Alegreya" w:hAnsi="Aptos Narrow" w:cs="Alegreya"/>
          <w:sz w:val="18"/>
          <w:szCs w:val="18"/>
        </w:rPr>
      </w:pPr>
      <w:hyperlink r:id="rId10">
        <w:r w:rsidRPr="009F0DEE">
          <w:rPr>
            <w:rFonts w:ascii="Aptos Narrow" w:eastAsia="Alegreya" w:hAnsi="Aptos Narrow" w:cs="Alegreya"/>
            <w:color w:val="467886"/>
            <w:sz w:val="18"/>
            <w:szCs w:val="18"/>
            <w:u w:val="single"/>
          </w:rPr>
          <w:t>https://doi.org/10.1111/cdev.13713</w:t>
        </w:r>
      </w:hyperlink>
      <w:r w:rsidRPr="009F0DEE">
        <w:rPr>
          <w:rFonts w:ascii="Aptos Narrow" w:eastAsia="Alegreya" w:hAnsi="Aptos Narrow" w:cs="Alegreya"/>
          <w:color w:val="000000"/>
          <w:sz w:val="18"/>
          <w:szCs w:val="18"/>
        </w:rPr>
        <w:t>. </w:t>
      </w:r>
    </w:p>
    <w:p w14:paraId="0000007F" w14:textId="77777777" w:rsidR="00AD7388" w:rsidRPr="009F0DEE" w:rsidRDefault="00B83410">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Allen, J. P., &amp; Loeb, E. L. (2015). The autonomy-connection challenge in adolescent peer relationships. </w:t>
      </w:r>
      <w:r w:rsidRPr="009F0DEE">
        <w:rPr>
          <w:rFonts w:ascii="Aptos Narrow" w:eastAsia="Alegreya" w:hAnsi="Aptos Narrow" w:cs="Alegreya"/>
          <w:i/>
          <w:color w:val="000000"/>
          <w:sz w:val="18"/>
          <w:szCs w:val="18"/>
        </w:rPr>
        <w:t>Child Development Perspectives, 9</w:t>
      </w:r>
      <w:r w:rsidRPr="009F0DEE">
        <w:rPr>
          <w:rFonts w:ascii="Aptos Narrow" w:eastAsia="Alegreya" w:hAnsi="Aptos Narrow" w:cs="Alegreya"/>
          <w:color w:val="000000"/>
          <w:sz w:val="18"/>
          <w:szCs w:val="18"/>
        </w:rPr>
        <w:t>(2),</w:t>
      </w:r>
    </w:p>
    <w:p w14:paraId="00000080" w14:textId="77777777" w:rsidR="00AD7388" w:rsidRPr="009F0DEE" w:rsidRDefault="00B8341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color w:val="000000"/>
          <w:sz w:val="18"/>
          <w:szCs w:val="18"/>
        </w:rPr>
        <w:t xml:space="preserve"> 101-105. </w:t>
      </w:r>
      <w:hyperlink r:id="rId11">
        <w:r w:rsidR="00AD7388" w:rsidRPr="009F0DEE">
          <w:rPr>
            <w:rFonts w:ascii="Aptos Narrow" w:eastAsia="Alegreya" w:hAnsi="Aptos Narrow" w:cs="Alegreya"/>
            <w:color w:val="467886"/>
            <w:sz w:val="18"/>
            <w:szCs w:val="18"/>
            <w:u w:val="single"/>
          </w:rPr>
          <w:t>https://doi.org/10.1111/cdep.12111</w:t>
        </w:r>
      </w:hyperlink>
      <w:r w:rsidRPr="009F0DEE">
        <w:rPr>
          <w:rFonts w:ascii="Aptos Narrow" w:eastAsia="Alegreya" w:hAnsi="Aptos Narrow" w:cs="Alegreya"/>
          <w:color w:val="000000"/>
          <w:sz w:val="18"/>
          <w:szCs w:val="18"/>
        </w:rPr>
        <w:t>. </w:t>
      </w:r>
    </w:p>
    <w:p w14:paraId="0ED8F9B7" w14:textId="77777777" w:rsidR="00531640" w:rsidRPr="009F0DEE" w:rsidRDefault="00B83410" w:rsidP="0053164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Almeida, I. L., Rego, J. F., Teixeira, A. C., Moreira, M. R. (2021). Social isolation and its impact on child and adolescent development: A</w:t>
      </w:r>
      <w:r w:rsidR="00531640" w:rsidRPr="009F0DEE">
        <w:rPr>
          <w:rFonts w:ascii="Aptos Narrow" w:eastAsia="Alegreya" w:hAnsi="Aptos Narrow" w:cs="Alegreya"/>
          <w:sz w:val="18"/>
          <w:szCs w:val="18"/>
        </w:rPr>
        <w:t xml:space="preserve"> </w:t>
      </w:r>
      <w:r w:rsidRPr="009F0DEE">
        <w:rPr>
          <w:rFonts w:ascii="Aptos Narrow" w:eastAsia="Alegreya" w:hAnsi="Aptos Narrow" w:cs="Alegreya"/>
          <w:sz w:val="18"/>
          <w:szCs w:val="18"/>
        </w:rPr>
        <w:t xml:space="preserve">systematic </w:t>
      </w:r>
    </w:p>
    <w:p w14:paraId="00000082" w14:textId="20022F30" w:rsidR="00AD7388" w:rsidRPr="009F0DEE" w:rsidRDefault="00B83410" w:rsidP="0053164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review. </w:t>
      </w:r>
      <w:r w:rsidRPr="009F0DEE">
        <w:rPr>
          <w:rFonts w:ascii="Aptos Narrow" w:eastAsia="Alegreya" w:hAnsi="Aptos Narrow" w:cs="Alegreya"/>
          <w:i/>
          <w:sz w:val="18"/>
          <w:szCs w:val="18"/>
        </w:rPr>
        <w:t>Rev Paul Pediatr. 40</w:t>
      </w:r>
      <w:r w:rsidRPr="009F0DEE">
        <w:rPr>
          <w:rFonts w:ascii="Aptos Narrow" w:eastAsia="Alegreya" w:hAnsi="Aptos Narrow" w:cs="Alegreya"/>
          <w:sz w:val="18"/>
          <w:szCs w:val="18"/>
        </w:rPr>
        <w:t xml:space="preserve">. </w:t>
      </w:r>
      <w:hyperlink r:id="rId12">
        <w:r w:rsidR="00AD7388" w:rsidRPr="009F0DEE">
          <w:rPr>
            <w:rFonts w:ascii="Aptos Narrow" w:eastAsia="Alegreya" w:hAnsi="Aptos Narrow" w:cs="Alegreya"/>
            <w:color w:val="1155CC"/>
            <w:sz w:val="18"/>
            <w:szCs w:val="18"/>
            <w:u w:val="single"/>
          </w:rPr>
          <w:t>https://doi.org/10.1590/1984-0462/2022/40/2020385</w:t>
        </w:r>
      </w:hyperlink>
      <w:r w:rsidRPr="009F0DEE">
        <w:rPr>
          <w:rFonts w:ascii="Aptos Narrow" w:eastAsia="Alegreya" w:hAnsi="Aptos Narrow" w:cs="Alegreya"/>
          <w:sz w:val="18"/>
          <w:szCs w:val="18"/>
        </w:rPr>
        <w:t xml:space="preserve"> </w:t>
      </w:r>
    </w:p>
    <w:p w14:paraId="00000083" w14:textId="77777777" w:rsidR="00AD7388" w:rsidRPr="009F0DEE" w:rsidRDefault="00B83410">
      <w:pPr>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 xml:space="preserve">Arnett, J. J. (2018). Getting better all the time: Trends in risk behavior among American adolescents since 1990. </w:t>
      </w:r>
      <w:r w:rsidRPr="009F0DEE">
        <w:rPr>
          <w:rFonts w:ascii="Aptos Narrow" w:eastAsia="Alegreya" w:hAnsi="Aptos Narrow" w:cs="Alegreya"/>
          <w:i/>
          <w:sz w:val="18"/>
          <w:szCs w:val="18"/>
        </w:rPr>
        <w:t xml:space="preserve">Archives of Scientific Psychology, </w:t>
      </w:r>
    </w:p>
    <w:p w14:paraId="00000084" w14:textId="77777777" w:rsidR="00AD7388" w:rsidRPr="009F0DEE" w:rsidRDefault="00B8341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6</w:t>
      </w:r>
      <w:r w:rsidRPr="009F0DEE">
        <w:rPr>
          <w:rFonts w:ascii="Aptos Narrow" w:eastAsia="Alegreya" w:hAnsi="Aptos Narrow" w:cs="Alegreya"/>
          <w:sz w:val="18"/>
          <w:szCs w:val="18"/>
        </w:rPr>
        <w:t xml:space="preserve">(1), 87-95. </w:t>
      </w:r>
      <w:hyperlink r:id="rId13">
        <w:r w:rsidR="00AD7388" w:rsidRPr="009F0DEE">
          <w:rPr>
            <w:rFonts w:ascii="Aptos Narrow" w:eastAsia="Alegreya" w:hAnsi="Aptos Narrow" w:cs="Alegreya"/>
            <w:color w:val="1155CC"/>
            <w:sz w:val="18"/>
            <w:szCs w:val="18"/>
            <w:u w:val="single"/>
          </w:rPr>
          <w:t>https://doi.org/10.1037/arc0000046</w:t>
        </w:r>
      </w:hyperlink>
      <w:r w:rsidRPr="009F0DEE">
        <w:rPr>
          <w:rFonts w:ascii="Aptos Narrow" w:eastAsia="Alegreya" w:hAnsi="Aptos Narrow" w:cs="Alegreya"/>
          <w:sz w:val="18"/>
          <w:szCs w:val="18"/>
        </w:rPr>
        <w:t xml:space="preserve"> </w:t>
      </w:r>
    </w:p>
    <w:p w14:paraId="3F1E680A" w14:textId="77777777" w:rsidR="00531640" w:rsidRPr="009F0DEE" w:rsidRDefault="00B83410" w:rsidP="0053164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Assan, T. T. (2023). “Once you bond …  you want to create social change”: Interpersonal relationships in youth activism. </w:t>
      </w:r>
      <w:r w:rsidRPr="009F0DEE">
        <w:rPr>
          <w:rFonts w:ascii="Aptos Narrow" w:eastAsia="Alegreya" w:hAnsi="Aptos Narrow" w:cs="Alegreya"/>
          <w:i/>
          <w:sz w:val="18"/>
          <w:szCs w:val="18"/>
        </w:rPr>
        <w:t>Children &amp; Society, 38</w:t>
      </w:r>
      <w:r w:rsidRPr="009F0DEE">
        <w:rPr>
          <w:rFonts w:ascii="Aptos Narrow" w:eastAsia="Alegreya" w:hAnsi="Aptos Narrow" w:cs="Alegreya"/>
          <w:sz w:val="18"/>
          <w:szCs w:val="18"/>
        </w:rPr>
        <w:t xml:space="preserve">(3), </w:t>
      </w:r>
    </w:p>
    <w:p w14:paraId="00000086" w14:textId="0D66E2FB" w:rsidR="00AD7388" w:rsidRPr="009F0DEE" w:rsidRDefault="00B83410" w:rsidP="0053164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789-803. </w:t>
      </w:r>
      <w:hyperlink r:id="rId14">
        <w:r w:rsidR="00AD7388" w:rsidRPr="009F0DEE">
          <w:rPr>
            <w:rFonts w:ascii="Aptos Narrow" w:eastAsia="Alegreya" w:hAnsi="Aptos Narrow" w:cs="Alegreya"/>
            <w:color w:val="1155CC"/>
            <w:sz w:val="18"/>
            <w:szCs w:val="18"/>
            <w:u w:val="single"/>
          </w:rPr>
          <w:t>https://doi.org/10.1111/chso.12780</w:t>
        </w:r>
      </w:hyperlink>
      <w:r w:rsidRPr="009F0DEE">
        <w:rPr>
          <w:rFonts w:ascii="Aptos Narrow" w:eastAsia="Alegreya" w:hAnsi="Aptos Narrow" w:cs="Alegreya"/>
          <w:sz w:val="18"/>
          <w:szCs w:val="18"/>
        </w:rPr>
        <w:t xml:space="preserve"> </w:t>
      </w:r>
    </w:p>
    <w:p w14:paraId="00000088" w14:textId="0C8A0B99" w:rsidR="00AD7388" w:rsidRPr="009F0DEE" w:rsidRDefault="00B83410" w:rsidP="00531640">
      <w:pPr>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 xml:space="preserve">Baumrind, D. (1967). Child care practices anteceding three patterns of preschool behavior. </w:t>
      </w:r>
      <w:r w:rsidRPr="009F0DEE">
        <w:rPr>
          <w:rFonts w:ascii="Aptos Narrow" w:eastAsia="Alegreya" w:hAnsi="Aptos Narrow" w:cs="Alegreya"/>
          <w:i/>
          <w:sz w:val="18"/>
          <w:szCs w:val="18"/>
        </w:rPr>
        <w:t>Genetic Psychology Monographs, 75,</w:t>
      </w:r>
      <w:r w:rsidRPr="009F0DEE">
        <w:rPr>
          <w:rFonts w:ascii="Aptos Narrow" w:eastAsia="Alegreya" w:hAnsi="Aptos Narrow" w:cs="Alegreya"/>
          <w:sz w:val="18"/>
          <w:szCs w:val="18"/>
        </w:rPr>
        <w:t xml:space="preserve"> 43-88. </w:t>
      </w:r>
    </w:p>
    <w:p w14:paraId="00000089" w14:textId="77777777" w:rsidR="00AD7388" w:rsidRPr="009F0DEE" w:rsidRDefault="00B8341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Become. (2024). </w:t>
      </w:r>
      <w:r w:rsidRPr="009F0DEE">
        <w:rPr>
          <w:rFonts w:ascii="Aptos Narrow" w:eastAsia="Alegreya" w:hAnsi="Aptos Narrow" w:cs="Alegreya"/>
          <w:i/>
          <w:sz w:val="18"/>
          <w:szCs w:val="18"/>
        </w:rPr>
        <w:t xml:space="preserve">Still too far: Children in care living miles from what matters. </w:t>
      </w:r>
      <w:r w:rsidRPr="009F0DEE">
        <w:rPr>
          <w:rFonts w:ascii="Aptos Narrow" w:eastAsia="Alegreya" w:hAnsi="Aptos Narrow" w:cs="Alegreya"/>
          <w:sz w:val="18"/>
          <w:szCs w:val="18"/>
        </w:rPr>
        <w:t xml:space="preserve">Becomecharity.org.uk. </w:t>
      </w:r>
    </w:p>
    <w:p w14:paraId="0000008A" w14:textId="77777777" w:rsidR="00AD7388" w:rsidRPr="009F0DEE" w:rsidRDefault="00AD7388">
      <w:pPr>
        <w:spacing w:after="0" w:line="240" w:lineRule="auto"/>
        <w:ind w:firstLine="720"/>
        <w:rPr>
          <w:rFonts w:ascii="Aptos Narrow" w:eastAsia="Alegreya" w:hAnsi="Aptos Narrow" w:cs="Alegreya"/>
          <w:sz w:val="18"/>
          <w:szCs w:val="18"/>
        </w:rPr>
      </w:pPr>
      <w:hyperlink r:id="rId15">
        <w:r w:rsidRPr="009F0DEE">
          <w:rPr>
            <w:rFonts w:ascii="Aptos Narrow" w:eastAsia="Alegreya" w:hAnsi="Aptos Narrow" w:cs="Alegreya"/>
            <w:color w:val="467886"/>
            <w:sz w:val="18"/>
            <w:szCs w:val="18"/>
            <w:u w:val="single"/>
          </w:rPr>
          <w:t>https://becomecharity.org.uk/content/uploads/2024/08/Still-Too-Far-report-FINAL-v1.pdf</w:t>
        </w:r>
      </w:hyperlink>
      <w:r w:rsidRPr="009F0DEE">
        <w:rPr>
          <w:rFonts w:ascii="Aptos Narrow" w:eastAsia="Alegreya" w:hAnsi="Aptos Narrow" w:cs="Alegreya"/>
          <w:sz w:val="18"/>
          <w:szCs w:val="18"/>
        </w:rPr>
        <w:t xml:space="preserve"> </w:t>
      </w:r>
    </w:p>
    <w:p w14:paraId="24BBA9BD" w14:textId="77777777" w:rsidR="00531640" w:rsidRPr="009F0DEE" w:rsidRDefault="00B83410" w:rsidP="0053164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Blakesee, J. E. &amp; Best, J. I. (2019). Understanding support network capacity during the transition from foster care: Youth-identified barriers, </w:t>
      </w:r>
    </w:p>
    <w:p w14:paraId="0CB74FD6" w14:textId="77777777" w:rsidR="00531640" w:rsidRPr="009F0DEE" w:rsidRDefault="00B83410" w:rsidP="0053164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facilitators, and enhancement strategies. </w:t>
      </w:r>
      <w:r w:rsidRPr="009F0DEE">
        <w:rPr>
          <w:rFonts w:ascii="Aptos Narrow" w:eastAsia="Alegreya" w:hAnsi="Aptos Narrow" w:cs="Alegreya"/>
          <w:i/>
          <w:sz w:val="18"/>
          <w:szCs w:val="18"/>
        </w:rPr>
        <w:t>Child and Youth Services Review, 96,</w:t>
      </w:r>
      <w:r w:rsidRPr="009F0DEE">
        <w:rPr>
          <w:rFonts w:ascii="Aptos Narrow" w:eastAsia="Alegreya" w:hAnsi="Aptos Narrow" w:cs="Alegreya"/>
          <w:sz w:val="18"/>
          <w:szCs w:val="18"/>
        </w:rPr>
        <w:t xml:space="preserve"> 220-230. </w:t>
      </w:r>
    </w:p>
    <w:p w14:paraId="0000008D" w14:textId="51F4A557" w:rsidR="00AD7388" w:rsidRPr="009F0DEE" w:rsidRDefault="00531640" w:rsidP="00531640">
      <w:pPr>
        <w:spacing w:after="0" w:line="240" w:lineRule="auto"/>
        <w:ind w:firstLine="720"/>
        <w:rPr>
          <w:rFonts w:ascii="Aptos Narrow" w:eastAsia="Alegreya" w:hAnsi="Aptos Narrow" w:cs="Alegreya"/>
          <w:sz w:val="18"/>
          <w:szCs w:val="18"/>
        </w:rPr>
      </w:pPr>
      <w:hyperlink r:id="rId16" w:history="1">
        <w:r w:rsidRPr="009F0DEE">
          <w:rPr>
            <w:rStyle w:val="Hyperlink"/>
            <w:rFonts w:ascii="Aptos Narrow" w:eastAsia="Alegreya" w:hAnsi="Aptos Narrow" w:cs="Alegreya"/>
            <w:sz w:val="18"/>
            <w:szCs w:val="18"/>
          </w:rPr>
          <w:t>https://doi.org.10.1016/j.childyouth.2018.11.049</w:t>
        </w:r>
      </w:hyperlink>
      <w:r w:rsidRPr="009F0DEE">
        <w:rPr>
          <w:rFonts w:ascii="Aptos Narrow" w:eastAsia="Alegreya" w:hAnsi="Aptos Narrow" w:cs="Alegreya"/>
          <w:sz w:val="18"/>
          <w:szCs w:val="18"/>
        </w:rPr>
        <w:t xml:space="preserve"> </w:t>
      </w:r>
    </w:p>
    <w:p w14:paraId="20C04310" w14:textId="77777777" w:rsidR="00531640" w:rsidRPr="009F0DEE" w:rsidRDefault="00B83410" w:rsidP="0053164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Blankenstein, N., Crone, E. A., van den Bos, W., van Duijvenvoorde, A. C. K. (2016). Dealing with uncertainty: Testing risk- and ambiguity-attitude </w:t>
      </w:r>
    </w:p>
    <w:p w14:paraId="0000008F" w14:textId="4325EB4A" w:rsidR="00AD7388" w:rsidRPr="009F0DEE" w:rsidRDefault="00B83410" w:rsidP="0053164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across adolescence. </w:t>
      </w:r>
      <w:r w:rsidRPr="009F0DEE">
        <w:rPr>
          <w:rFonts w:ascii="Aptos Narrow" w:eastAsia="Alegreya" w:hAnsi="Aptos Narrow" w:cs="Alegreya"/>
          <w:i/>
          <w:sz w:val="18"/>
          <w:szCs w:val="18"/>
        </w:rPr>
        <w:t>Developmental Neuropsychology, 41</w:t>
      </w:r>
      <w:r w:rsidRPr="009F0DEE">
        <w:rPr>
          <w:rFonts w:ascii="Aptos Narrow" w:eastAsia="Alegreya" w:hAnsi="Aptos Narrow" w:cs="Alegreya"/>
          <w:sz w:val="18"/>
          <w:szCs w:val="18"/>
        </w:rPr>
        <w:t xml:space="preserve">(1-2), 77-92. </w:t>
      </w:r>
      <w:hyperlink r:id="rId17">
        <w:r w:rsidR="00AD7388" w:rsidRPr="009F0DEE">
          <w:rPr>
            <w:rFonts w:ascii="Aptos Narrow" w:eastAsia="Alegreya" w:hAnsi="Aptos Narrow" w:cs="Alegreya"/>
            <w:color w:val="1155CC"/>
            <w:sz w:val="18"/>
            <w:szCs w:val="18"/>
            <w:u w:val="single"/>
          </w:rPr>
          <w:t>https://doi.org/10.1080/87565641.2016.1158265</w:t>
        </w:r>
      </w:hyperlink>
      <w:r w:rsidRPr="009F0DEE">
        <w:rPr>
          <w:rFonts w:ascii="Aptos Narrow" w:eastAsia="Alegreya" w:hAnsi="Aptos Narrow" w:cs="Alegreya"/>
          <w:sz w:val="18"/>
          <w:szCs w:val="18"/>
        </w:rPr>
        <w:t xml:space="preserve"> </w:t>
      </w:r>
    </w:p>
    <w:p w14:paraId="6C515FF2" w14:textId="77777777" w:rsidR="00531640" w:rsidRPr="009F0DEE" w:rsidRDefault="00B83410" w:rsidP="0053164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Blum, R. W., Lai, J., Martinez, M., Jessee, C. (2022). Adolescent connectedness: Cornerstone for health and wellbeing. </w:t>
      </w:r>
      <w:r w:rsidRPr="009F0DEE">
        <w:rPr>
          <w:rFonts w:ascii="Aptos Narrow" w:eastAsia="Alegreya" w:hAnsi="Aptos Narrow" w:cs="Alegreya"/>
          <w:i/>
          <w:sz w:val="18"/>
          <w:szCs w:val="18"/>
        </w:rPr>
        <w:t>BMJ, 379</w:t>
      </w:r>
      <w:r w:rsidRPr="009F0DEE">
        <w:rPr>
          <w:rFonts w:ascii="Aptos Narrow" w:eastAsia="Alegreya" w:hAnsi="Aptos Narrow" w:cs="Alegreya"/>
          <w:sz w:val="18"/>
          <w:szCs w:val="18"/>
        </w:rPr>
        <w:t xml:space="preserve">. </w:t>
      </w:r>
    </w:p>
    <w:p w14:paraId="00000091" w14:textId="067B7701" w:rsidR="00AD7388" w:rsidRPr="009F0DEE" w:rsidRDefault="00531640" w:rsidP="00531640">
      <w:pPr>
        <w:spacing w:after="0" w:line="240" w:lineRule="auto"/>
        <w:ind w:firstLine="720"/>
        <w:rPr>
          <w:rFonts w:ascii="Aptos Narrow" w:eastAsia="Alegreya" w:hAnsi="Aptos Narrow" w:cs="Alegreya"/>
          <w:sz w:val="18"/>
          <w:szCs w:val="18"/>
        </w:rPr>
      </w:pPr>
      <w:hyperlink r:id="rId18" w:history="1">
        <w:r w:rsidRPr="009F0DEE">
          <w:rPr>
            <w:rStyle w:val="Hyperlink"/>
            <w:rFonts w:ascii="Aptos Narrow" w:eastAsia="Alegreya" w:hAnsi="Aptos Narrow" w:cs="Alegreya"/>
            <w:sz w:val="18"/>
            <w:szCs w:val="18"/>
          </w:rPr>
          <w:t>https://doi.org/10.1136/bmj-2021-069213</w:t>
        </w:r>
      </w:hyperlink>
      <w:r w:rsidRPr="009F0DEE">
        <w:rPr>
          <w:rFonts w:ascii="Aptos Narrow" w:eastAsia="Alegreya" w:hAnsi="Aptos Narrow" w:cs="Alegreya"/>
          <w:sz w:val="18"/>
          <w:szCs w:val="18"/>
        </w:rPr>
        <w:t xml:space="preserve"> </w:t>
      </w:r>
    </w:p>
    <w:p w14:paraId="60093ED8" w14:textId="77777777" w:rsidR="00531640" w:rsidRPr="009F0DEE" w:rsidRDefault="00B83410" w:rsidP="00531640">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Bowker, A. (2004). Predicting friendship stability during early adolescence. </w:t>
      </w:r>
      <w:r w:rsidRPr="009F0DEE">
        <w:rPr>
          <w:rFonts w:ascii="Aptos Narrow" w:eastAsia="Alegreya" w:hAnsi="Aptos Narrow" w:cs="Alegreya"/>
          <w:i/>
          <w:color w:val="000000"/>
          <w:sz w:val="18"/>
          <w:szCs w:val="18"/>
        </w:rPr>
        <w:t>The Journal of Early Adolescence, 24</w:t>
      </w:r>
      <w:r w:rsidRPr="009F0DEE">
        <w:rPr>
          <w:rFonts w:ascii="Aptos Narrow" w:eastAsia="Alegreya" w:hAnsi="Aptos Narrow" w:cs="Alegreya"/>
          <w:color w:val="000000"/>
          <w:sz w:val="18"/>
          <w:szCs w:val="18"/>
        </w:rPr>
        <w:t xml:space="preserve">(2), 85-112. </w:t>
      </w:r>
    </w:p>
    <w:p w14:paraId="00000093" w14:textId="4D003BA0" w:rsidR="00AD7388" w:rsidRPr="009F0DEE" w:rsidRDefault="00531640" w:rsidP="00531640">
      <w:pPr>
        <w:spacing w:after="0" w:line="240" w:lineRule="auto"/>
        <w:ind w:firstLine="720"/>
        <w:rPr>
          <w:rFonts w:ascii="Aptos Narrow" w:eastAsia="Alegreya" w:hAnsi="Aptos Narrow" w:cs="Alegreya"/>
          <w:i/>
          <w:color w:val="000000"/>
          <w:sz w:val="18"/>
          <w:szCs w:val="18"/>
        </w:rPr>
      </w:pPr>
      <w:hyperlink r:id="rId19" w:history="1">
        <w:r w:rsidRPr="009F0DEE">
          <w:rPr>
            <w:rStyle w:val="Hyperlink"/>
            <w:rFonts w:ascii="Aptos Narrow" w:eastAsia="Alegreya" w:hAnsi="Aptos Narrow" w:cs="Alegreya"/>
            <w:sz w:val="18"/>
            <w:szCs w:val="18"/>
          </w:rPr>
          <w:t>https://doi.org/10.1177/0272431603262666</w:t>
        </w:r>
      </w:hyperlink>
      <w:r w:rsidRPr="009F0DEE">
        <w:rPr>
          <w:rFonts w:ascii="Aptos Narrow" w:eastAsia="Alegreya" w:hAnsi="Aptos Narrow" w:cs="Alegreya"/>
          <w:color w:val="000000"/>
          <w:sz w:val="18"/>
          <w:szCs w:val="18"/>
        </w:rPr>
        <w:t xml:space="preserve">   </w:t>
      </w:r>
    </w:p>
    <w:p w14:paraId="05AEE6B9" w14:textId="77777777" w:rsidR="00531640" w:rsidRPr="009F0DEE" w:rsidRDefault="00B83410" w:rsidP="00531640">
      <w:pPr>
        <w:spacing w:after="0" w:line="240" w:lineRule="auto"/>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Brown, B., &amp; Larson, J. (2009). Peer relationships in adolescence. In R. M. Lerner &amp; L. Steinberg (Eds.), </w:t>
      </w:r>
      <w:r w:rsidRPr="009F0DEE">
        <w:rPr>
          <w:rFonts w:ascii="Aptos Narrow" w:eastAsia="Alegreya" w:hAnsi="Aptos Narrow" w:cs="Alegreya"/>
          <w:i/>
          <w:color w:val="000000"/>
          <w:sz w:val="18"/>
          <w:szCs w:val="18"/>
        </w:rPr>
        <w:t>Handbook of adolescent psychology:</w:t>
      </w:r>
    </w:p>
    <w:p w14:paraId="291B9BF4" w14:textId="77777777" w:rsidR="00531640" w:rsidRPr="009F0DEE" w:rsidRDefault="00B83410" w:rsidP="00531640">
      <w:pPr>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i/>
          <w:color w:val="000000"/>
          <w:sz w:val="18"/>
          <w:szCs w:val="18"/>
        </w:rPr>
        <w:t xml:space="preserve"> Contextual influences on adolescent development</w:t>
      </w:r>
      <w:r w:rsidRPr="009F0DEE">
        <w:rPr>
          <w:rFonts w:ascii="Aptos Narrow" w:eastAsia="Alegreya" w:hAnsi="Aptos Narrow" w:cs="Alegreya"/>
          <w:color w:val="000000"/>
          <w:sz w:val="18"/>
          <w:szCs w:val="18"/>
        </w:rPr>
        <w:t xml:space="preserve"> (3</w:t>
      </w:r>
      <w:r w:rsidRPr="009F0DEE">
        <w:rPr>
          <w:rFonts w:ascii="Aptos Narrow" w:eastAsia="Alegreya" w:hAnsi="Aptos Narrow" w:cs="Alegreya"/>
          <w:color w:val="000000"/>
          <w:sz w:val="18"/>
          <w:szCs w:val="18"/>
          <w:vertAlign w:val="superscript"/>
        </w:rPr>
        <w:t>rd</w:t>
      </w:r>
      <w:r w:rsidRPr="009F0DEE">
        <w:rPr>
          <w:rFonts w:ascii="Aptos Narrow" w:eastAsia="Alegreya" w:hAnsi="Aptos Narrow" w:cs="Alegreya"/>
          <w:color w:val="000000"/>
          <w:sz w:val="18"/>
          <w:szCs w:val="18"/>
        </w:rPr>
        <w:t xml:space="preserve"> ed., pp.74-103). John Wiley 7 Sons, Inc. </w:t>
      </w:r>
    </w:p>
    <w:p w14:paraId="00000096" w14:textId="52EB880F" w:rsidR="00AD7388" w:rsidRPr="009F0DEE" w:rsidRDefault="00531640" w:rsidP="00531640">
      <w:pPr>
        <w:spacing w:after="0" w:line="240" w:lineRule="auto"/>
        <w:ind w:firstLine="720"/>
        <w:rPr>
          <w:rFonts w:ascii="Aptos Narrow" w:eastAsia="Alegreya" w:hAnsi="Aptos Narrow" w:cs="Alegreya"/>
          <w:sz w:val="18"/>
          <w:szCs w:val="18"/>
        </w:rPr>
      </w:pPr>
      <w:hyperlink r:id="rId20" w:history="1">
        <w:r w:rsidRPr="009F0DEE">
          <w:rPr>
            <w:rStyle w:val="Hyperlink"/>
            <w:rFonts w:ascii="Aptos Narrow" w:eastAsia="Alegreya" w:hAnsi="Aptos Narrow" w:cs="Alegreya"/>
            <w:sz w:val="18"/>
            <w:szCs w:val="18"/>
          </w:rPr>
          <w:t>https://doi.org/10.1002/9780470479193.adlpsy002004</w:t>
        </w:r>
      </w:hyperlink>
      <w:r w:rsidRPr="009F0DEE">
        <w:rPr>
          <w:rFonts w:ascii="Aptos Narrow" w:eastAsia="Alegreya" w:hAnsi="Aptos Narrow" w:cs="Alegreya"/>
          <w:color w:val="000000"/>
          <w:sz w:val="18"/>
          <w:szCs w:val="18"/>
        </w:rPr>
        <w:t>. </w:t>
      </w:r>
    </w:p>
    <w:p w14:paraId="3EF8B21B" w14:textId="77777777" w:rsidR="00531640" w:rsidRPr="009F0DEE" w:rsidRDefault="00B83410" w:rsidP="00531640">
      <w:pPr>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 xml:space="preserve">Branje, S., de Moor, E. L., Spitzer, J., Becht, A. I. (2021). Dynamics of identity development in adolescence: A decade in review. </w:t>
      </w:r>
      <w:r w:rsidRPr="009F0DEE">
        <w:rPr>
          <w:rFonts w:ascii="Aptos Narrow" w:eastAsia="Alegreya" w:hAnsi="Aptos Narrow" w:cs="Alegreya"/>
          <w:i/>
          <w:sz w:val="18"/>
          <w:szCs w:val="18"/>
        </w:rPr>
        <w:t xml:space="preserve">Journal of Research </w:t>
      </w:r>
    </w:p>
    <w:p w14:paraId="00000098" w14:textId="39459F2F" w:rsidR="00AD7388" w:rsidRPr="009F0DEE" w:rsidRDefault="00B83410" w:rsidP="0053164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on Adolescence, 31</w:t>
      </w:r>
      <w:r w:rsidRPr="009F0DEE">
        <w:rPr>
          <w:rFonts w:ascii="Aptos Narrow" w:eastAsia="Alegreya" w:hAnsi="Aptos Narrow" w:cs="Alegreya"/>
          <w:sz w:val="18"/>
          <w:szCs w:val="18"/>
        </w:rPr>
        <w:t xml:space="preserve">(4), 908-927. </w:t>
      </w:r>
      <w:hyperlink r:id="rId21">
        <w:r w:rsidR="00AD7388" w:rsidRPr="009F0DEE">
          <w:rPr>
            <w:rFonts w:ascii="Aptos Narrow" w:eastAsia="Alegreya" w:hAnsi="Aptos Narrow" w:cs="Alegreya"/>
            <w:color w:val="1155CC"/>
            <w:sz w:val="18"/>
            <w:szCs w:val="18"/>
            <w:u w:val="single"/>
          </w:rPr>
          <w:t>https://doi.org.10.1111/jora.12678</w:t>
        </w:r>
      </w:hyperlink>
      <w:r w:rsidRPr="009F0DEE">
        <w:rPr>
          <w:rFonts w:ascii="Aptos Narrow" w:eastAsia="Alegreya" w:hAnsi="Aptos Narrow" w:cs="Alegreya"/>
          <w:sz w:val="18"/>
          <w:szCs w:val="18"/>
        </w:rPr>
        <w:t xml:space="preserve"> </w:t>
      </w:r>
    </w:p>
    <w:p w14:paraId="00000099" w14:textId="77777777" w:rsidR="00AD7388" w:rsidRPr="009F0DEE" w:rsidRDefault="00B83410">
      <w:pPr>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 xml:space="preserve">Briheim-Crookall, L., Michelmore, O., Baker, C., Oni, O., Taylor, S., Selwyn, J. (2020). </w:t>
      </w:r>
      <w:r w:rsidRPr="009F0DEE">
        <w:rPr>
          <w:rFonts w:ascii="Aptos Narrow" w:eastAsia="Alegreya" w:hAnsi="Aptos Narrow" w:cs="Alegreya"/>
          <w:i/>
          <w:sz w:val="18"/>
          <w:szCs w:val="18"/>
        </w:rPr>
        <w:t xml:space="preserve">What makes life good? Care leavers’ views on their well-being. </w:t>
      </w:r>
    </w:p>
    <w:p w14:paraId="0000009A" w14:textId="77777777" w:rsidR="00AD7388" w:rsidRPr="009F0DEE" w:rsidRDefault="00B8341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Coram Voice. </w:t>
      </w:r>
      <w:hyperlink r:id="rId22">
        <w:r w:rsidR="00AD7388" w:rsidRPr="009F0DEE">
          <w:rPr>
            <w:rFonts w:ascii="Aptos Narrow" w:eastAsia="Alegreya" w:hAnsi="Aptos Narrow" w:cs="Alegreya"/>
            <w:color w:val="1155CC"/>
            <w:sz w:val="18"/>
            <w:szCs w:val="18"/>
            <w:u w:val="single"/>
          </w:rPr>
          <w:t>https://www.coram.org.uk/wp-content/uploads/2023/01/1883-CV-What-Makes-Life-Good-Report-final.pdf</w:t>
        </w:r>
      </w:hyperlink>
      <w:r w:rsidRPr="009F0DEE">
        <w:rPr>
          <w:rFonts w:ascii="Aptos Narrow" w:eastAsia="Alegreya" w:hAnsi="Aptos Narrow" w:cs="Alegreya"/>
          <w:sz w:val="18"/>
          <w:szCs w:val="18"/>
        </w:rPr>
        <w:t xml:space="preserve"> </w:t>
      </w:r>
    </w:p>
    <w:p w14:paraId="729FEEBE" w14:textId="77777777" w:rsidR="00531640" w:rsidRPr="009F0DEE" w:rsidRDefault="00B83410" w:rsidP="0053164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Bruysters, N. Y. F. &amp; Pilkington, P. D. (2022). Overprotective parenting experiences and early maladaptive schemas in adolescence and adulthood: </w:t>
      </w:r>
    </w:p>
    <w:p w14:paraId="0000009D" w14:textId="7D6E623C" w:rsidR="00AD7388" w:rsidRPr="000B4A02" w:rsidRDefault="00B83410" w:rsidP="00531640">
      <w:pPr>
        <w:spacing w:after="0" w:line="240" w:lineRule="auto"/>
        <w:ind w:firstLine="720"/>
        <w:rPr>
          <w:rFonts w:ascii="Aptos Narrow" w:eastAsia="Alegreya" w:hAnsi="Aptos Narrow" w:cs="Alegreya"/>
          <w:sz w:val="18"/>
          <w:szCs w:val="18"/>
          <w:lang w:val="pl-PL"/>
        </w:rPr>
      </w:pPr>
      <w:r w:rsidRPr="009F0DEE">
        <w:rPr>
          <w:rFonts w:ascii="Aptos Narrow" w:eastAsia="Alegreya" w:hAnsi="Aptos Narrow" w:cs="Alegreya"/>
          <w:sz w:val="18"/>
          <w:szCs w:val="18"/>
        </w:rPr>
        <w:t xml:space="preserve">A systematic review and meta-analysis. </w:t>
      </w:r>
      <w:r w:rsidRPr="009F0DEE">
        <w:rPr>
          <w:rFonts w:ascii="Aptos Narrow" w:eastAsia="Alegreya" w:hAnsi="Aptos Narrow" w:cs="Alegreya"/>
          <w:i/>
          <w:sz w:val="18"/>
          <w:szCs w:val="18"/>
          <w:lang w:val="pl-PL"/>
        </w:rPr>
        <w:t>Clin Psychol Psychother., 30</w:t>
      </w:r>
      <w:r w:rsidRPr="009F0DEE">
        <w:rPr>
          <w:rFonts w:ascii="Aptos Narrow" w:eastAsia="Alegreya" w:hAnsi="Aptos Narrow" w:cs="Alegreya"/>
          <w:sz w:val="18"/>
          <w:szCs w:val="18"/>
          <w:lang w:val="pl-PL"/>
        </w:rPr>
        <w:t>(1), 10-23</w:t>
      </w:r>
      <w:r w:rsidR="00531640" w:rsidRPr="009F0DEE">
        <w:rPr>
          <w:rFonts w:ascii="Aptos Narrow" w:eastAsia="Alegreya" w:hAnsi="Aptos Narrow" w:cs="Alegreya"/>
          <w:sz w:val="18"/>
          <w:szCs w:val="18"/>
          <w:lang w:val="pl-PL"/>
        </w:rPr>
        <w:t xml:space="preserve">. </w:t>
      </w:r>
      <w:hyperlink r:id="rId23" w:history="1">
        <w:r w:rsidR="00531640" w:rsidRPr="000B4A02">
          <w:rPr>
            <w:rStyle w:val="Hyperlink"/>
            <w:rFonts w:ascii="Aptos Narrow" w:eastAsia="Alegreya" w:hAnsi="Aptos Narrow" w:cs="Alegreya"/>
            <w:sz w:val="18"/>
            <w:szCs w:val="18"/>
            <w:lang w:val="pl-PL"/>
          </w:rPr>
          <w:t>https://doi.org/10.1002/cpp.2776</w:t>
        </w:r>
      </w:hyperlink>
      <w:r w:rsidRPr="000B4A02">
        <w:rPr>
          <w:rFonts w:ascii="Aptos Narrow" w:eastAsia="Alegreya" w:hAnsi="Aptos Narrow" w:cs="Alegreya"/>
          <w:sz w:val="18"/>
          <w:szCs w:val="18"/>
          <w:lang w:val="pl-PL"/>
        </w:rPr>
        <w:t xml:space="preserve"> </w:t>
      </w:r>
    </w:p>
    <w:p w14:paraId="3DE49536" w14:textId="77777777" w:rsidR="00531640" w:rsidRPr="009F0DEE" w:rsidRDefault="00B83410" w:rsidP="00531640">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Burns, R. A., Windsor, T., Butterworth, P., Anstey, K. J. (2022). The protective effects of wellbeing and flourishing on long-term mental health risk. </w:t>
      </w:r>
    </w:p>
    <w:p w14:paraId="000000A0" w14:textId="6AEDBFD1" w:rsidR="00AD7388" w:rsidRPr="009F0DEE" w:rsidRDefault="00B83410" w:rsidP="00531640">
      <w:pPr>
        <w:spacing w:after="0" w:line="240" w:lineRule="auto"/>
        <w:ind w:firstLine="720"/>
        <w:rPr>
          <w:rFonts w:ascii="Aptos Narrow" w:eastAsia="Alegreya" w:hAnsi="Aptos Narrow" w:cs="Alegreya"/>
          <w:i/>
          <w:color w:val="000000"/>
          <w:sz w:val="18"/>
          <w:szCs w:val="18"/>
        </w:rPr>
      </w:pPr>
      <w:r w:rsidRPr="009F0DEE">
        <w:rPr>
          <w:rFonts w:ascii="Aptos Narrow" w:eastAsia="Alegreya" w:hAnsi="Aptos Narrow" w:cs="Alegreya"/>
          <w:i/>
          <w:color w:val="000000"/>
          <w:sz w:val="18"/>
          <w:szCs w:val="18"/>
        </w:rPr>
        <w:t xml:space="preserve">SSM - Mental Health. </w:t>
      </w:r>
      <w:hyperlink r:id="rId24" w:history="1">
        <w:r w:rsidR="00531640" w:rsidRPr="009F0DEE">
          <w:rPr>
            <w:rStyle w:val="Hyperlink"/>
            <w:rFonts w:ascii="Aptos Narrow" w:eastAsia="Alegreya" w:hAnsi="Aptos Narrow" w:cs="Alegreya"/>
            <w:sz w:val="18"/>
            <w:szCs w:val="18"/>
          </w:rPr>
          <w:t>https://doi.org/10.1016/j.ssmmh.2021.100052</w:t>
        </w:r>
      </w:hyperlink>
      <w:r w:rsidRPr="009F0DEE">
        <w:rPr>
          <w:rFonts w:ascii="Aptos Narrow" w:eastAsia="Alegreya" w:hAnsi="Aptos Narrow" w:cs="Alegreya"/>
          <w:color w:val="000000"/>
          <w:sz w:val="18"/>
          <w:szCs w:val="18"/>
        </w:rPr>
        <w:t> </w:t>
      </w:r>
    </w:p>
    <w:p w14:paraId="753262A6" w14:textId="77777777" w:rsidR="00531640" w:rsidRPr="009F0DEE" w:rsidRDefault="00B83410" w:rsidP="0053164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Calheiros, M. M., Rodrigues, A. F., Camilo, C., Silva, C. S. (2025). Friendship quality and mental health of youth in residential care: The moderating </w:t>
      </w:r>
    </w:p>
    <w:p w14:paraId="000000A3" w14:textId="00A280C3" w:rsidR="00AD7388" w:rsidRPr="009F0DEE" w:rsidRDefault="00B83410" w:rsidP="0053164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role of individual and contextual variables. </w:t>
      </w:r>
      <w:r w:rsidRPr="009F0DEE">
        <w:rPr>
          <w:rFonts w:ascii="Aptos Narrow" w:eastAsia="Alegreya" w:hAnsi="Aptos Narrow" w:cs="Alegreya"/>
          <w:i/>
          <w:sz w:val="18"/>
          <w:szCs w:val="18"/>
        </w:rPr>
        <w:t>Child &amp; Youth Care Forum, 54</w:t>
      </w:r>
      <w:r w:rsidRPr="009F0DEE">
        <w:rPr>
          <w:rFonts w:ascii="Aptos Narrow" w:eastAsia="Alegreya" w:hAnsi="Aptos Narrow" w:cs="Alegreya"/>
          <w:sz w:val="18"/>
          <w:szCs w:val="18"/>
        </w:rPr>
        <w:t xml:space="preserve">, 959-981. </w:t>
      </w:r>
      <w:hyperlink r:id="rId25">
        <w:r w:rsidR="00AD7388" w:rsidRPr="009F0DEE">
          <w:rPr>
            <w:rFonts w:ascii="Aptos Narrow" w:eastAsia="Alegreya" w:hAnsi="Aptos Narrow" w:cs="Alegreya"/>
            <w:color w:val="467886"/>
            <w:sz w:val="18"/>
            <w:szCs w:val="18"/>
            <w:u w:val="single"/>
          </w:rPr>
          <w:t>https://doi.org/10.1007/s10566-024-09847-z</w:t>
        </w:r>
      </w:hyperlink>
      <w:r w:rsidRPr="009F0DEE">
        <w:rPr>
          <w:rFonts w:ascii="Aptos Narrow" w:eastAsia="Alegreya" w:hAnsi="Aptos Narrow" w:cs="Alegreya"/>
          <w:sz w:val="18"/>
          <w:szCs w:val="18"/>
        </w:rPr>
        <w:t xml:space="preserve"> </w:t>
      </w:r>
    </w:p>
    <w:p w14:paraId="5048EA47" w14:textId="77777777" w:rsidR="00531640" w:rsidRPr="009F0DEE" w:rsidRDefault="00B83410" w:rsidP="0053164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Choukas-Bradley, S., Giletta, M., Cohen, G. L., Prinstein, M. J. (2015). Peer influence, peer status, and prosocial behavior: An experimental </w:t>
      </w:r>
    </w:p>
    <w:p w14:paraId="000000A6" w14:textId="14D0A6A2" w:rsidR="00AD7388" w:rsidRPr="009F0DEE" w:rsidRDefault="00B83410" w:rsidP="00531640">
      <w:pPr>
        <w:spacing w:after="0" w:line="240" w:lineRule="auto"/>
        <w:ind w:left="720"/>
        <w:rPr>
          <w:rFonts w:ascii="Aptos Narrow" w:eastAsia="Alegreya" w:hAnsi="Aptos Narrow" w:cs="Alegreya"/>
          <w:sz w:val="18"/>
          <w:szCs w:val="18"/>
        </w:rPr>
      </w:pPr>
      <w:r w:rsidRPr="009F0DEE">
        <w:rPr>
          <w:rFonts w:ascii="Aptos Narrow" w:eastAsia="Alegreya" w:hAnsi="Aptos Narrow" w:cs="Alegreya"/>
          <w:sz w:val="18"/>
          <w:szCs w:val="18"/>
        </w:rPr>
        <w:t xml:space="preserve">investigation of peer socialization of adolescents’ intentions to volunteer. </w:t>
      </w:r>
      <w:r w:rsidRPr="009F0DEE">
        <w:rPr>
          <w:rFonts w:ascii="Aptos Narrow" w:eastAsia="Alegreya" w:hAnsi="Aptos Narrow" w:cs="Alegreya"/>
          <w:i/>
          <w:sz w:val="18"/>
          <w:szCs w:val="18"/>
        </w:rPr>
        <w:t>Journal of Youth and Adolescence, 44</w:t>
      </w:r>
      <w:r w:rsidRPr="009F0DEE">
        <w:rPr>
          <w:rFonts w:ascii="Aptos Narrow" w:eastAsia="Alegreya" w:hAnsi="Aptos Narrow" w:cs="Alegreya"/>
          <w:sz w:val="18"/>
          <w:szCs w:val="18"/>
        </w:rPr>
        <w:t xml:space="preserve">(12), 2197-2210. </w:t>
      </w:r>
      <w:hyperlink r:id="rId26" w:history="1">
        <w:r w:rsidR="00531640" w:rsidRPr="009F0DEE">
          <w:rPr>
            <w:rStyle w:val="Hyperlink"/>
            <w:rFonts w:ascii="Aptos Narrow" w:eastAsia="Alegreya" w:hAnsi="Aptos Narrow" w:cs="Alegreya"/>
            <w:sz w:val="18"/>
            <w:szCs w:val="18"/>
          </w:rPr>
          <w:t>https://doi.org/10.1007/s10964-015-0373-2</w:t>
        </w:r>
      </w:hyperlink>
      <w:r w:rsidRPr="009F0DEE">
        <w:rPr>
          <w:rFonts w:ascii="Aptos Narrow" w:eastAsia="Alegreya" w:hAnsi="Aptos Narrow" w:cs="Alegreya"/>
          <w:sz w:val="18"/>
          <w:szCs w:val="18"/>
        </w:rPr>
        <w:t xml:space="preserve"> </w:t>
      </w:r>
    </w:p>
    <w:p w14:paraId="000000A7" w14:textId="77777777" w:rsidR="00AD7388" w:rsidRPr="009F0DEE" w:rsidRDefault="00B8341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Christiansen, J., Qualter, P., Friis, K., Pedersen, S. S., Lund, R., Andersen, C. M., Bekker-Jeppesen, M., Lasgaard, M. (2021). Associations of </w:t>
      </w:r>
    </w:p>
    <w:p w14:paraId="2EC8D758" w14:textId="77777777" w:rsidR="00531640" w:rsidRPr="009F0DEE" w:rsidRDefault="00B83410" w:rsidP="00531640">
      <w:pPr>
        <w:spacing w:after="0" w:line="240" w:lineRule="auto"/>
        <w:ind w:firstLine="720"/>
        <w:rPr>
          <w:rFonts w:ascii="Aptos Narrow" w:eastAsia="Alegreya" w:hAnsi="Aptos Narrow" w:cs="Alegreya"/>
          <w:i/>
          <w:sz w:val="18"/>
          <w:szCs w:val="18"/>
        </w:rPr>
      </w:pPr>
      <w:r w:rsidRPr="009F0DEE">
        <w:rPr>
          <w:rFonts w:ascii="Aptos Narrow" w:eastAsia="Alegreya" w:hAnsi="Aptos Narrow" w:cs="Alegreya"/>
          <w:sz w:val="18"/>
          <w:szCs w:val="18"/>
        </w:rPr>
        <w:t xml:space="preserve">loneliness and social isolation with physical and mental health among adolescents and young adults. </w:t>
      </w:r>
      <w:r w:rsidRPr="009F0DEE">
        <w:rPr>
          <w:rFonts w:ascii="Aptos Narrow" w:eastAsia="Alegreya" w:hAnsi="Aptos Narrow" w:cs="Alegreya"/>
          <w:i/>
          <w:sz w:val="18"/>
          <w:szCs w:val="18"/>
        </w:rPr>
        <w:t xml:space="preserve">Perspectives in Public Health, </w:t>
      </w:r>
    </w:p>
    <w:p w14:paraId="000000A9" w14:textId="30C2732A" w:rsidR="00AD7388" w:rsidRPr="009F0DEE" w:rsidRDefault="00B83410" w:rsidP="0053164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141</w:t>
      </w:r>
      <w:r w:rsidRPr="009F0DEE">
        <w:rPr>
          <w:rFonts w:ascii="Aptos Narrow" w:eastAsia="Alegreya" w:hAnsi="Aptos Narrow" w:cs="Alegreya"/>
          <w:sz w:val="18"/>
          <w:szCs w:val="18"/>
        </w:rPr>
        <w:t xml:space="preserve">(4), 226-236.  </w:t>
      </w:r>
      <w:hyperlink r:id="rId27">
        <w:r w:rsidR="00AD7388" w:rsidRPr="009F0DEE">
          <w:rPr>
            <w:rFonts w:ascii="Aptos Narrow" w:eastAsia="Alegreya" w:hAnsi="Aptos Narrow" w:cs="Alegreya"/>
            <w:color w:val="1155CC"/>
            <w:sz w:val="18"/>
            <w:szCs w:val="18"/>
            <w:u w:val="single"/>
          </w:rPr>
          <w:t>https://doi.org/10.1177/17579139211016077</w:t>
        </w:r>
      </w:hyperlink>
      <w:r w:rsidRPr="009F0DEE">
        <w:rPr>
          <w:rFonts w:ascii="Aptos Narrow" w:eastAsia="Alegreya" w:hAnsi="Aptos Narrow" w:cs="Alegreya"/>
          <w:sz w:val="18"/>
          <w:szCs w:val="18"/>
        </w:rPr>
        <w:t xml:space="preserve"> </w:t>
      </w:r>
    </w:p>
    <w:p w14:paraId="6B9597EB" w14:textId="77777777" w:rsidR="00531640" w:rsidRPr="009F0DEE" w:rsidRDefault="00B83410" w:rsidP="00531640">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Ciranka, S. &amp; van den Bos, W. (2021). Adolescent risk-taking in the context of exploration and social influence. </w:t>
      </w:r>
      <w:r w:rsidRPr="009F0DEE">
        <w:rPr>
          <w:rFonts w:ascii="Aptos Narrow" w:eastAsia="Alegreya" w:hAnsi="Aptos Narrow" w:cs="Alegreya"/>
          <w:i/>
          <w:color w:val="000000"/>
          <w:sz w:val="18"/>
          <w:szCs w:val="18"/>
        </w:rPr>
        <w:t>Developmental Review, 61.</w:t>
      </w:r>
      <w:r w:rsidRPr="009F0DEE">
        <w:rPr>
          <w:rFonts w:ascii="Aptos Narrow" w:eastAsia="Alegreya" w:hAnsi="Aptos Narrow" w:cs="Alegreya"/>
          <w:color w:val="000000"/>
          <w:sz w:val="18"/>
          <w:szCs w:val="18"/>
        </w:rPr>
        <w:t xml:space="preserve"> </w:t>
      </w:r>
    </w:p>
    <w:p w14:paraId="000000AB" w14:textId="796CD6A5" w:rsidR="00AD7388" w:rsidRPr="009F0DEE" w:rsidRDefault="00531640" w:rsidP="00531640">
      <w:pPr>
        <w:spacing w:after="0" w:line="240" w:lineRule="auto"/>
        <w:ind w:firstLine="720"/>
        <w:rPr>
          <w:rFonts w:ascii="Aptos Narrow" w:eastAsia="Alegreya" w:hAnsi="Aptos Narrow" w:cs="Alegreya"/>
          <w:color w:val="000000"/>
          <w:sz w:val="18"/>
          <w:szCs w:val="18"/>
        </w:rPr>
      </w:pPr>
      <w:hyperlink r:id="rId28" w:history="1">
        <w:r w:rsidRPr="009F0DEE">
          <w:rPr>
            <w:rStyle w:val="Hyperlink"/>
            <w:rFonts w:ascii="Aptos Narrow" w:eastAsia="Alegreya" w:hAnsi="Aptos Narrow" w:cs="Alegreya"/>
            <w:sz w:val="18"/>
            <w:szCs w:val="18"/>
          </w:rPr>
          <w:t>https://doi.org/10.1016/j.dr.2021.100979</w:t>
        </w:r>
      </w:hyperlink>
      <w:r w:rsidRPr="009F0DEE">
        <w:rPr>
          <w:rFonts w:ascii="Aptos Narrow" w:eastAsia="Alegreya" w:hAnsi="Aptos Narrow" w:cs="Alegreya"/>
          <w:color w:val="000000"/>
          <w:sz w:val="18"/>
          <w:szCs w:val="18"/>
        </w:rPr>
        <w:t xml:space="preserve"> </w:t>
      </w:r>
    </w:p>
    <w:p w14:paraId="000000AC" w14:textId="77777777" w:rsidR="00AD7388" w:rsidRPr="009F0DEE" w:rsidRDefault="00B8341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Coley, R. L., Leer, J., Lanteri, L. (2025). Trends in mental and behavioral health risks in adolescents: 1999-2021. </w:t>
      </w:r>
      <w:r w:rsidRPr="009F0DEE">
        <w:rPr>
          <w:rFonts w:ascii="Aptos Narrow" w:eastAsia="Alegreya" w:hAnsi="Aptos Narrow" w:cs="Alegreya"/>
          <w:i/>
          <w:sz w:val="18"/>
          <w:szCs w:val="18"/>
        </w:rPr>
        <w:t>Pediatrics, 155</w:t>
      </w:r>
      <w:r w:rsidRPr="009F0DEE">
        <w:rPr>
          <w:rFonts w:ascii="Aptos Narrow" w:eastAsia="Alegreya" w:hAnsi="Aptos Narrow" w:cs="Alegreya"/>
          <w:sz w:val="18"/>
          <w:szCs w:val="18"/>
        </w:rPr>
        <w:t xml:space="preserve">(4). </w:t>
      </w:r>
    </w:p>
    <w:p w14:paraId="000000AD" w14:textId="77777777" w:rsidR="00AD7388" w:rsidRPr="009F0DEE" w:rsidRDefault="00AD7388">
      <w:pPr>
        <w:spacing w:after="0" w:line="240" w:lineRule="auto"/>
        <w:ind w:firstLine="720"/>
        <w:rPr>
          <w:rFonts w:ascii="Aptos Narrow" w:eastAsia="Alegreya" w:hAnsi="Aptos Narrow" w:cs="Alegreya"/>
          <w:sz w:val="18"/>
          <w:szCs w:val="18"/>
        </w:rPr>
      </w:pPr>
      <w:hyperlink r:id="rId29">
        <w:r w:rsidRPr="009F0DEE">
          <w:rPr>
            <w:rFonts w:ascii="Aptos Narrow" w:eastAsia="Alegreya" w:hAnsi="Aptos Narrow" w:cs="Alegreya"/>
            <w:color w:val="1155CC"/>
            <w:sz w:val="18"/>
            <w:szCs w:val="18"/>
            <w:u w:val="single"/>
          </w:rPr>
          <w:t>https://doi.org/10.1542/peds.2024-068774</w:t>
        </w:r>
      </w:hyperlink>
      <w:r w:rsidRPr="009F0DEE">
        <w:rPr>
          <w:rFonts w:ascii="Aptos Narrow" w:eastAsia="Alegreya" w:hAnsi="Aptos Narrow" w:cs="Alegreya"/>
          <w:sz w:val="18"/>
          <w:szCs w:val="18"/>
        </w:rPr>
        <w:t xml:space="preserve"> </w:t>
      </w:r>
    </w:p>
    <w:p w14:paraId="3D0E8505" w14:textId="77348926" w:rsidR="0041142C" w:rsidRPr="009F0DEE" w:rsidRDefault="0041142C" w:rsidP="00531640">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Day, A. (2023). “It’s a hard balance to find”: The perspectives of youth justice practitioners in England on the place of “risk” in an emerging “child-</w:t>
      </w:r>
      <w:r w:rsidRPr="009F0DEE">
        <w:rPr>
          <w:rFonts w:ascii="Aptos Narrow" w:eastAsia="Alegreya" w:hAnsi="Aptos Narrow" w:cs="Alegreya"/>
          <w:color w:val="000000"/>
          <w:sz w:val="18"/>
          <w:szCs w:val="18"/>
        </w:rPr>
        <w:tab/>
        <w:t xml:space="preserve">first” world. </w:t>
      </w:r>
      <w:r w:rsidRPr="009F0DEE">
        <w:rPr>
          <w:rFonts w:ascii="Aptos Narrow" w:eastAsia="Alegreya" w:hAnsi="Aptos Narrow" w:cs="Alegreya"/>
          <w:i/>
          <w:iCs/>
          <w:color w:val="000000"/>
          <w:sz w:val="18"/>
          <w:szCs w:val="18"/>
        </w:rPr>
        <w:t>Youth Justice, 23</w:t>
      </w:r>
      <w:r w:rsidRPr="009F0DEE">
        <w:rPr>
          <w:rFonts w:ascii="Aptos Narrow" w:eastAsia="Alegreya" w:hAnsi="Aptos Narrow" w:cs="Alegreya"/>
          <w:color w:val="000000"/>
          <w:sz w:val="18"/>
          <w:szCs w:val="18"/>
        </w:rPr>
        <w:t xml:space="preserve">(1), 58-75. </w:t>
      </w:r>
      <w:hyperlink r:id="rId30" w:history="1">
        <w:r w:rsidRPr="009F0DEE">
          <w:rPr>
            <w:rStyle w:val="Hyperlink"/>
            <w:rFonts w:ascii="Aptos Narrow" w:eastAsia="Alegreya" w:hAnsi="Aptos Narrow" w:cs="Alegreya"/>
            <w:sz w:val="18"/>
            <w:szCs w:val="18"/>
          </w:rPr>
          <w:t>https://doi.org/10.1177/14732254221075205</w:t>
        </w:r>
      </w:hyperlink>
      <w:r w:rsidRPr="009F0DEE">
        <w:rPr>
          <w:rFonts w:ascii="Aptos Narrow" w:eastAsia="Alegreya" w:hAnsi="Aptos Narrow" w:cs="Alegreya"/>
          <w:color w:val="000000"/>
          <w:sz w:val="18"/>
          <w:szCs w:val="18"/>
        </w:rPr>
        <w:t xml:space="preserve"> </w:t>
      </w:r>
    </w:p>
    <w:p w14:paraId="438F7C82" w14:textId="7601C5CF" w:rsidR="00531640" w:rsidRPr="009F0DEE" w:rsidRDefault="00B83410" w:rsidP="00531640">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De Goede, I. H., Branje, S. J., Delsing, M. J., Meeus, W. H. (2009). Linkages over time between adolescents’ relationships with parents and friends. </w:t>
      </w:r>
    </w:p>
    <w:p w14:paraId="000000B0" w14:textId="085BC489" w:rsidR="00AD7388" w:rsidRPr="009F0DEE" w:rsidRDefault="00B83410" w:rsidP="00531640">
      <w:pPr>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i/>
          <w:color w:val="000000"/>
          <w:sz w:val="18"/>
          <w:szCs w:val="18"/>
        </w:rPr>
        <w:t>Journal of Youth and Adolescence, 38</w:t>
      </w:r>
      <w:r w:rsidRPr="009F0DEE">
        <w:rPr>
          <w:rFonts w:ascii="Aptos Narrow" w:eastAsia="Alegreya" w:hAnsi="Aptos Narrow" w:cs="Alegreya"/>
          <w:color w:val="000000"/>
          <w:sz w:val="18"/>
          <w:szCs w:val="18"/>
        </w:rPr>
        <w:t>(10), 1304-1314. </w:t>
      </w:r>
      <w:hyperlink r:id="rId31">
        <w:r w:rsidR="00AD7388" w:rsidRPr="009F0DEE">
          <w:rPr>
            <w:rFonts w:ascii="Aptos Narrow" w:eastAsia="Alegreya" w:hAnsi="Aptos Narrow" w:cs="Alegreya"/>
            <w:color w:val="467886"/>
            <w:sz w:val="18"/>
            <w:szCs w:val="18"/>
            <w:u w:val="single"/>
          </w:rPr>
          <w:t>https://doi.org/10.1007/s10964-009-9403-2</w:t>
        </w:r>
      </w:hyperlink>
      <w:r w:rsidRPr="009F0DEE">
        <w:rPr>
          <w:rFonts w:ascii="Aptos Narrow" w:eastAsia="Alegreya" w:hAnsi="Aptos Narrow" w:cs="Alegreya"/>
          <w:color w:val="000000"/>
          <w:sz w:val="18"/>
          <w:szCs w:val="18"/>
        </w:rPr>
        <w:t>. </w:t>
      </w:r>
    </w:p>
    <w:p w14:paraId="340DBED1" w14:textId="27CE5D53" w:rsidR="00573CDD" w:rsidRPr="009F0DEE" w:rsidRDefault="00573CDD" w:rsidP="00531640">
      <w:pPr>
        <w:spacing w:after="0"/>
        <w:rPr>
          <w:rFonts w:ascii="Aptos Narrow" w:eastAsia="Alegreya" w:hAnsi="Aptos Narrow" w:cs="Alegreya"/>
          <w:color w:val="222222"/>
          <w:sz w:val="18"/>
          <w:szCs w:val="18"/>
          <w:highlight w:val="white"/>
        </w:rPr>
      </w:pPr>
      <w:r w:rsidRPr="009F0DEE">
        <w:rPr>
          <w:rFonts w:ascii="Aptos Narrow" w:eastAsia="Alegreya" w:hAnsi="Aptos Narrow" w:cs="Alegreya"/>
          <w:color w:val="222222"/>
          <w:sz w:val="18"/>
          <w:szCs w:val="18"/>
          <w:highlight w:val="white"/>
        </w:rPr>
        <w:t xml:space="preserve">Duell, N. &amp; Steinberg, L. (2019). Positive risk taking in adolescence. </w:t>
      </w:r>
      <w:r w:rsidRPr="009F0DEE">
        <w:rPr>
          <w:rFonts w:ascii="Aptos Narrow" w:eastAsia="Alegreya" w:hAnsi="Aptos Narrow" w:cs="Alegreya"/>
          <w:i/>
          <w:iCs/>
          <w:color w:val="222222"/>
          <w:sz w:val="18"/>
          <w:szCs w:val="18"/>
          <w:highlight w:val="white"/>
        </w:rPr>
        <w:t>Child Development Perspectives,</w:t>
      </w:r>
      <w:r w:rsidR="005D0548" w:rsidRPr="009F0DEE">
        <w:rPr>
          <w:rFonts w:ascii="Aptos Narrow" w:eastAsia="Alegreya" w:hAnsi="Aptos Narrow" w:cs="Alegreya"/>
          <w:i/>
          <w:iCs/>
          <w:color w:val="222222"/>
          <w:sz w:val="18"/>
          <w:szCs w:val="18"/>
          <w:highlight w:val="white"/>
        </w:rPr>
        <w:t xml:space="preserve"> </w:t>
      </w:r>
      <w:r w:rsidRPr="009F0DEE">
        <w:rPr>
          <w:rFonts w:ascii="Aptos Narrow" w:eastAsia="Alegreya" w:hAnsi="Aptos Narrow" w:cs="Alegreya"/>
          <w:i/>
          <w:iCs/>
          <w:color w:val="222222"/>
          <w:sz w:val="18"/>
          <w:szCs w:val="18"/>
          <w:highlight w:val="white"/>
        </w:rPr>
        <w:t>13</w:t>
      </w:r>
      <w:r w:rsidRPr="009F0DEE">
        <w:rPr>
          <w:rFonts w:ascii="Aptos Narrow" w:eastAsia="Alegreya" w:hAnsi="Aptos Narrow" w:cs="Alegreya"/>
          <w:color w:val="222222"/>
          <w:sz w:val="18"/>
          <w:szCs w:val="18"/>
          <w:highlight w:val="white"/>
        </w:rPr>
        <w:t xml:space="preserve">(1), 48-52. </w:t>
      </w:r>
    </w:p>
    <w:p w14:paraId="5B750B90" w14:textId="3D447649" w:rsidR="00573CDD" w:rsidRPr="009F0DEE" w:rsidRDefault="00573CDD" w:rsidP="00573CDD">
      <w:pPr>
        <w:spacing w:after="0"/>
        <w:ind w:firstLine="720"/>
        <w:rPr>
          <w:rFonts w:ascii="Aptos Narrow" w:eastAsia="Alegreya" w:hAnsi="Aptos Narrow" w:cs="Alegreya"/>
          <w:color w:val="222222"/>
          <w:sz w:val="18"/>
          <w:szCs w:val="18"/>
          <w:highlight w:val="white"/>
        </w:rPr>
      </w:pPr>
      <w:hyperlink r:id="rId32" w:history="1">
        <w:r w:rsidRPr="009F0DEE">
          <w:rPr>
            <w:rStyle w:val="Hyperlink"/>
            <w:rFonts w:ascii="Aptos Narrow" w:eastAsia="Alegreya" w:hAnsi="Aptos Narrow" w:cs="Alegreya"/>
            <w:sz w:val="18"/>
            <w:szCs w:val="18"/>
            <w:highlight w:val="white"/>
          </w:rPr>
          <w:t>https://doi.org/10.1111/cdep.12310</w:t>
        </w:r>
      </w:hyperlink>
      <w:r w:rsidRPr="009F0DEE">
        <w:rPr>
          <w:rFonts w:ascii="Aptos Narrow" w:eastAsia="Alegreya" w:hAnsi="Aptos Narrow" w:cs="Alegreya"/>
          <w:color w:val="222222"/>
          <w:sz w:val="18"/>
          <w:szCs w:val="18"/>
          <w:highlight w:val="white"/>
        </w:rPr>
        <w:t xml:space="preserve"> </w:t>
      </w:r>
    </w:p>
    <w:p w14:paraId="239413DF" w14:textId="0FB986CC" w:rsidR="00531640" w:rsidRPr="009F0DEE" w:rsidRDefault="00B83410" w:rsidP="00531640">
      <w:pPr>
        <w:spacing w:after="0"/>
        <w:rPr>
          <w:rFonts w:ascii="Aptos Narrow" w:eastAsia="Alegreya" w:hAnsi="Aptos Narrow" w:cs="Alegreya"/>
          <w:i/>
          <w:color w:val="222222"/>
          <w:sz w:val="18"/>
          <w:szCs w:val="18"/>
          <w:highlight w:val="white"/>
        </w:rPr>
      </w:pPr>
      <w:r w:rsidRPr="009F0DEE">
        <w:rPr>
          <w:rFonts w:ascii="Aptos Narrow" w:eastAsia="Alegreya" w:hAnsi="Aptos Narrow" w:cs="Alegreya"/>
          <w:color w:val="222222"/>
          <w:sz w:val="18"/>
          <w:szCs w:val="18"/>
          <w:highlight w:val="white"/>
        </w:rPr>
        <w:t xml:space="preserve">Ehrhardt, A. D., Schacter, H. L. (2024). Connecting adolescent friendships to physical health outcomes: A narrative review. </w:t>
      </w:r>
      <w:r w:rsidRPr="009F0DEE">
        <w:rPr>
          <w:rFonts w:ascii="Aptos Narrow" w:eastAsia="Alegreya" w:hAnsi="Aptos Narrow" w:cs="Alegreya"/>
          <w:i/>
          <w:color w:val="222222"/>
          <w:sz w:val="18"/>
          <w:szCs w:val="18"/>
          <w:highlight w:val="white"/>
        </w:rPr>
        <w:t xml:space="preserve">Social Development, </w:t>
      </w:r>
    </w:p>
    <w:p w14:paraId="000000B2" w14:textId="40449EFD" w:rsidR="00AD7388" w:rsidRPr="009F0DEE" w:rsidRDefault="00B83410" w:rsidP="00531640">
      <w:pPr>
        <w:spacing w:after="0"/>
        <w:ind w:firstLine="720"/>
        <w:rPr>
          <w:rFonts w:ascii="Aptos Narrow" w:eastAsia="Alegreya" w:hAnsi="Aptos Narrow" w:cs="Alegreya"/>
          <w:color w:val="222222"/>
          <w:sz w:val="18"/>
          <w:szCs w:val="18"/>
          <w:highlight w:val="white"/>
        </w:rPr>
      </w:pPr>
      <w:r w:rsidRPr="009F0DEE">
        <w:rPr>
          <w:rFonts w:ascii="Aptos Narrow" w:eastAsia="Alegreya" w:hAnsi="Aptos Narrow" w:cs="Alegreya"/>
          <w:i/>
          <w:color w:val="222222"/>
          <w:sz w:val="18"/>
          <w:szCs w:val="18"/>
          <w:highlight w:val="white"/>
        </w:rPr>
        <w:t>33</w:t>
      </w:r>
      <w:r w:rsidRPr="009F0DEE">
        <w:rPr>
          <w:rFonts w:ascii="Aptos Narrow" w:eastAsia="Alegreya" w:hAnsi="Aptos Narrow" w:cs="Alegreya"/>
          <w:color w:val="222222"/>
          <w:sz w:val="18"/>
          <w:szCs w:val="18"/>
          <w:highlight w:val="white"/>
        </w:rPr>
        <w:t xml:space="preserve">(2). </w:t>
      </w:r>
      <w:hyperlink r:id="rId33">
        <w:r w:rsidR="00AD7388" w:rsidRPr="009F0DEE">
          <w:rPr>
            <w:rFonts w:ascii="Aptos Narrow" w:eastAsia="Alegreya" w:hAnsi="Aptos Narrow" w:cs="Alegreya"/>
            <w:color w:val="1155CC"/>
            <w:sz w:val="18"/>
            <w:szCs w:val="18"/>
            <w:highlight w:val="white"/>
            <w:u w:val="single"/>
          </w:rPr>
          <w:t>https://doi.org/10.1111/sode.12726</w:t>
        </w:r>
      </w:hyperlink>
      <w:r w:rsidRPr="009F0DEE">
        <w:rPr>
          <w:rFonts w:ascii="Aptos Narrow" w:eastAsia="Alegreya" w:hAnsi="Aptos Narrow" w:cs="Alegreya"/>
          <w:color w:val="222222"/>
          <w:sz w:val="18"/>
          <w:szCs w:val="18"/>
          <w:highlight w:val="white"/>
        </w:rPr>
        <w:t xml:space="preserve"> </w:t>
      </w:r>
    </w:p>
    <w:p w14:paraId="51A113B4" w14:textId="77777777" w:rsidR="00531640" w:rsidRPr="009F0DEE" w:rsidRDefault="00B83410" w:rsidP="00531640">
      <w:pPr>
        <w:spacing w:after="0"/>
        <w:rPr>
          <w:rFonts w:ascii="Aptos Narrow" w:eastAsia="Alegreya" w:hAnsi="Aptos Narrow" w:cs="Alegreya"/>
          <w:color w:val="222222"/>
          <w:sz w:val="18"/>
          <w:szCs w:val="18"/>
          <w:highlight w:val="white"/>
        </w:rPr>
      </w:pPr>
      <w:r w:rsidRPr="009F0DEE">
        <w:rPr>
          <w:rFonts w:ascii="Aptos Narrow" w:eastAsia="Alegreya" w:hAnsi="Aptos Narrow" w:cs="Alegreya"/>
          <w:color w:val="222222"/>
          <w:sz w:val="18"/>
          <w:szCs w:val="18"/>
          <w:highlight w:val="white"/>
        </w:rPr>
        <w:t xml:space="preserve">Eisenman, L. T., Kofke, M., Subih, M. (2020). New social relationships: Social skills, supports, and networks in adolescent transition education. In </w:t>
      </w:r>
    </w:p>
    <w:p w14:paraId="000000B5" w14:textId="6EE49124" w:rsidR="00AD7388" w:rsidRPr="009F0DEE" w:rsidRDefault="00B83410" w:rsidP="00531640">
      <w:pPr>
        <w:spacing w:after="0"/>
        <w:ind w:firstLine="720"/>
        <w:rPr>
          <w:rFonts w:ascii="Aptos Narrow" w:eastAsia="Alegreya" w:hAnsi="Aptos Narrow" w:cs="Alegreya"/>
          <w:color w:val="222222"/>
          <w:sz w:val="18"/>
          <w:szCs w:val="18"/>
          <w:highlight w:val="white"/>
        </w:rPr>
      </w:pPr>
      <w:r w:rsidRPr="009F0DEE">
        <w:rPr>
          <w:rFonts w:ascii="Aptos Narrow" w:eastAsia="Alegreya" w:hAnsi="Aptos Narrow" w:cs="Alegreya"/>
          <w:color w:val="222222"/>
          <w:sz w:val="18"/>
          <w:szCs w:val="18"/>
          <w:highlight w:val="white"/>
        </w:rPr>
        <w:t xml:space="preserve">Shogren, K. A., Wehmeyer, M. L. (Eds.) </w:t>
      </w:r>
      <w:r w:rsidRPr="009F0DEE">
        <w:rPr>
          <w:rFonts w:ascii="Aptos Narrow" w:eastAsia="Alegreya" w:hAnsi="Aptos Narrow" w:cs="Alegreya"/>
          <w:i/>
          <w:color w:val="222222"/>
          <w:sz w:val="18"/>
          <w:szCs w:val="18"/>
          <w:highlight w:val="white"/>
        </w:rPr>
        <w:t xml:space="preserve">Handbook of adolescent transition education for youth with disabilities. </w:t>
      </w:r>
      <w:r w:rsidRPr="009F0DEE">
        <w:rPr>
          <w:rFonts w:ascii="Aptos Narrow" w:eastAsia="Alegreya" w:hAnsi="Aptos Narrow" w:cs="Alegreya"/>
          <w:color w:val="222222"/>
          <w:sz w:val="18"/>
          <w:szCs w:val="18"/>
          <w:highlight w:val="white"/>
        </w:rPr>
        <w:t xml:space="preserve">Routledge. </w:t>
      </w:r>
    </w:p>
    <w:p w14:paraId="000000B6" w14:textId="77777777" w:rsidR="00AD7388" w:rsidRPr="009F0DEE" w:rsidRDefault="00B83410">
      <w:pPr>
        <w:spacing w:after="0"/>
        <w:rPr>
          <w:rFonts w:ascii="Aptos Narrow" w:eastAsia="Alegreya" w:hAnsi="Aptos Narrow" w:cs="Alegreya"/>
          <w:sz w:val="18"/>
          <w:szCs w:val="18"/>
        </w:rPr>
      </w:pPr>
      <w:r w:rsidRPr="009F0DEE">
        <w:rPr>
          <w:rFonts w:ascii="Aptos Narrow" w:eastAsia="Alegreya" w:hAnsi="Aptos Narrow" w:cs="Alegreya"/>
          <w:color w:val="222222"/>
          <w:sz w:val="18"/>
          <w:szCs w:val="18"/>
          <w:highlight w:val="white"/>
        </w:rPr>
        <w:t>Erikson, E. H. (1963). </w:t>
      </w:r>
      <w:r w:rsidRPr="009F0DEE">
        <w:rPr>
          <w:rFonts w:ascii="Aptos Narrow" w:eastAsia="Alegreya" w:hAnsi="Aptos Narrow" w:cs="Alegreya"/>
          <w:i/>
          <w:color w:val="222222"/>
          <w:sz w:val="18"/>
          <w:szCs w:val="18"/>
          <w:highlight w:val="white"/>
        </w:rPr>
        <w:t>Childhood and society</w:t>
      </w:r>
      <w:r w:rsidRPr="009F0DEE">
        <w:rPr>
          <w:rFonts w:ascii="Aptos Narrow" w:eastAsia="Alegreya" w:hAnsi="Aptos Narrow" w:cs="Alegreya"/>
          <w:color w:val="222222"/>
          <w:sz w:val="18"/>
          <w:szCs w:val="18"/>
          <w:highlight w:val="white"/>
        </w:rPr>
        <w:t> (2nd ed.). New York: Norton.</w:t>
      </w:r>
    </w:p>
    <w:p w14:paraId="44B7CFE5" w14:textId="77777777" w:rsidR="00531640" w:rsidRPr="009F0DEE" w:rsidRDefault="00B83410" w:rsidP="00531640">
      <w:pPr>
        <w:shd w:val="clear" w:color="auto" w:fill="FFFFFF"/>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 xml:space="preserve">Fink, E. (2021). Friendships and theory of mind in middle childhood and adolescence. In R. T. Devine &amp; S. Lecce (Eds.), </w:t>
      </w:r>
      <w:r w:rsidRPr="009F0DEE">
        <w:rPr>
          <w:rFonts w:ascii="Aptos Narrow" w:eastAsia="Alegreya" w:hAnsi="Aptos Narrow" w:cs="Alegreya"/>
          <w:i/>
          <w:sz w:val="18"/>
          <w:szCs w:val="18"/>
        </w:rPr>
        <w:t xml:space="preserve">Theory of mind in middle </w:t>
      </w:r>
    </w:p>
    <w:p w14:paraId="000000B9" w14:textId="3DA13DDB" w:rsidR="00AD7388" w:rsidRPr="009F0DEE" w:rsidRDefault="00B83410" w:rsidP="00531640">
      <w:pPr>
        <w:shd w:val="clear" w:color="auto" w:fill="FFFFFF"/>
        <w:spacing w:after="0" w:line="240" w:lineRule="auto"/>
        <w:ind w:left="720"/>
        <w:rPr>
          <w:rFonts w:ascii="Aptos Narrow" w:eastAsia="Alegreya" w:hAnsi="Aptos Narrow" w:cs="Alegreya"/>
          <w:sz w:val="18"/>
          <w:szCs w:val="18"/>
        </w:rPr>
      </w:pPr>
      <w:r w:rsidRPr="009F0DEE">
        <w:rPr>
          <w:rFonts w:ascii="Aptos Narrow" w:eastAsia="Alegreya" w:hAnsi="Aptos Narrow" w:cs="Alegreya"/>
          <w:i/>
          <w:sz w:val="18"/>
          <w:szCs w:val="18"/>
        </w:rPr>
        <w:lastRenderedPageBreak/>
        <w:t>childhood and adolescence: Integrating multiple perspectives</w:t>
      </w:r>
      <w:r w:rsidRPr="009F0DEE">
        <w:rPr>
          <w:rFonts w:ascii="Aptos Narrow" w:eastAsia="Alegreya" w:hAnsi="Aptos Narrow" w:cs="Alegreya"/>
          <w:sz w:val="18"/>
          <w:szCs w:val="18"/>
        </w:rPr>
        <w:t xml:space="preserve"> (pp.122-141). Routledge/Taylor &amp; Francis Group. </w:t>
      </w:r>
      <w:hyperlink r:id="rId34" w:history="1">
        <w:r w:rsidR="00531640" w:rsidRPr="009F0DEE">
          <w:rPr>
            <w:rStyle w:val="Hyperlink"/>
            <w:rFonts w:ascii="Aptos Narrow" w:eastAsia="Alegreya" w:hAnsi="Aptos Narrow" w:cs="Alegreya"/>
            <w:sz w:val="18"/>
            <w:szCs w:val="18"/>
          </w:rPr>
          <w:t>https://doi.org/10.4324/9780429326899-9</w:t>
        </w:r>
      </w:hyperlink>
      <w:r w:rsidRPr="009F0DEE">
        <w:rPr>
          <w:rFonts w:ascii="Aptos Narrow" w:eastAsia="Alegreya" w:hAnsi="Aptos Narrow" w:cs="Alegreya"/>
          <w:sz w:val="18"/>
          <w:szCs w:val="18"/>
        </w:rPr>
        <w:t xml:space="preserve"> </w:t>
      </w:r>
    </w:p>
    <w:p w14:paraId="03163F6F" w14:textId="77777777" w:rsidR="00531640" w:rsidRPr="009F0DEE" w:rsidRDefault="00B83410" w:rsidP="00531640">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Firmin, C. (2017). </w:t>
      </w:r>
      <w:r w:rsidRPr="009F0DEE">
        <w:rPr>
          <w:rFonts w:ascii="Aptos Narrow" w:eastAsia="Alegreya" w:hAnsi="Aptos Narrow" w:cs="Alegreya"/>
          <w:i/>
          <w:color w:val="000000"/>
          <w:sz w:val="18"/>
          <w:szCs w:val="18"/>
        </w:rPr>
        <w:t>Contextual safeguarding: An overview of the operational, strategic and conceptual framework.</w:t>
      </w:r>
      <w:r w:rsidRPr="009F0DEE">
        <w:rPr>
          <w:rFonts w:ascii="Aptos Narrow" w:eastAsia="Alegreya" w:hAnsi="Aptos Narrow" w:cs="Alegreya"/>
          <w:color w:val="000000"/>
          <w:sz w:val="18"/>
          <w:szCs w:val="18"/>
        </w:rPr>
        <w:t xml:space="preserve"> Contextual Safeguarding Network, </w:t>
      </w:r>
    </w:p>
    <w:p w14:paraId="000000BC" w14:textId="6687CED2" w:rsidR="00AD7388" w:rsidRPr="009F0DEE" w:rsidRDefault="00B83410" w:rsidP="00531640">
      <w:pPr>
        <w:shd w:val="clear" w:color="auto" w:fill="FFFFFF"/>
        <w:spacing w:after="0" w:line="240" w:lineRule="auto"/>
        <w:ind w:firstLine="720"/>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University of Bedfordshire.</w:t>
      </w:r>
      <w:r w:rsidR="00531640" w:rsidRPr="009F0DEE">
        <w:rPr>
          <w:rFonts w:ascii="Aptos Narrow" w:eastAsia="Alegreya" w:hAnsi="Aptos Narrow" w:cs="Alegreya"/>
          <w:i/>
          <w:color w:val="000000"/>
          <w:sz w:val="18"/>
          <w:szCs w:val="18"/>
        </w:rPr>
        <w:t xml:space="preserve"> </w:t>
      </w:r>
      <w:hyperlink r:id="rId35" w:history="1">
        <w:r w:rsidR="00531640" w:rsidRPr="009F0DEE">
          <w:rPr>
            <w:rStyle w:val="Hyperlink"/>
            <w:rFonts w:ascii="Aptos Narrow" w:eastAsia="Alegreya" w:hAnsi="Aptos Narrow" w:cs="Alegreya"/>
            <w:sz w:val="18"/>
            <w:szCs w:val="18"/>
          </w:rPr>
          <w:t>https://basw.co.uk/sites/default/files/resources/Contextual-Safeguarding-Briefing.pdf</w:t>
        </w:r>
      </w:hyperlink>
    </w:p>
    <w:p w14:paraId="000000BE" w14:textId="078C4372" w:rsidR="00AD7388" w:rsidRPr="009F0DEE" w:rsidRDefault="00B83410" w:rsidP="00531640">
      <w:pPr>
        <w:shd w:val="clear" w:color="auto" w:fill="FFFFFF"/>
        <w:spacing w:after="0" w:line="240" w:lineRule="auto"/>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 xml:space="preserve">Firmin, C., Barter, C. A., Roesch-Marsh, A. (2023). Friends, peers and safeguarding. </w:t>
      </w:r>
      <w:r w:rsidRPr="009F0DEE">
        <w:rPr>
          <w:rFonts w:ascii="Aptos Narrow" w:eastAsia="Alegreya" w:hAnsi="Aptos Narrow" w:cs="Alegreya"/>
          <w:i/>
          <w:color w:val="000000"/>
          <w:sz w:val="18"/>
          <w:szCs w:val="18"/>
        </w:rPr>
        <w:t>Child Abuse Review, 31</w:t>
      </w:r>
      <w:r w:rsidRPr="009F0DEE">
        <w:rPr>
          <w:rFonts w:ascii="Aptos Narrow" w:eastAsia="Alegreya" w:hAnsi="Aptos Narrow" w:cs="Alegreya"/>
          <w:color w:val="000000"/>
          <w:sz w:val="18"/>
          <w:szCs w:val="18"/>
        </w:rPr>
        <w:t xml:space="preserve">(3). </w:t>
      </w:r>
      <w:hyperlink r:id="rId36">
        <w:r w:rsidR="00AD7388" w:rsidRPr="009F0DEE">
          <w:rPr>
            <w:rFonts w:ascii="Aptos Narrow" w:eastAsia="Alegreya" w:hAnsi="Aptos Narrow" w:cs="Alegreya"/>
            <w:color w:val="467886"/>
            <w:sz w:val="18"/>
            <w:szCs w:val="18"/>
            <w:u w:val="single"/>
          </w:rPr>
          <w:t>https://doi.org/10.1002/car.2826</w:t>
        </w:r>
      </w:hyperlink>
      <w:r w:rsidRPr="009F0DEE">
        <w:rPr>
          <w:rFonts w:ascii="Aptos Narrow" w:eastAsia="Alegreya" w:hAnsi="Aptos Narrow" w:cs="Alegreya"/>
          <w:color w:val="000000"/>
          <w:sz w:val="18"/>
          <w:szCs w:val="18"/>
        </w:rPr>
        <w:t xml:space="preserve"> </w:t>
      </w:r>
      <w:r w:rsidRPr="009F0DEE">
        <w:rPr>
          <w:rFonts w:ascii="Aptos Narrow" w:eastAsia="Alegreya" w:hAnsi="Aptos Narrow" w:cs="Alegreya"/>
          <w:i/>
          <w:color w:val="000000"/>
          <w:sz w:val="18"/>
          <w:szCs w:val="18"/>
        </w:rPr>
        <w:t xml:space="preserve"> </w:t>
      </w:r>
    </w:p>
    <w:p w14:paraId="4D0818B8" w14:textId="77777777" w:rsidR="00531640" w:rsidRPr="009F0DEE" w:rsidRDefault="00B83410" w:rsidP="0053164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Flamant, N., Boncquet, M., Petegem, S. V., Haerens, L., Beyers, W., Soenens, B. (2022). To endure or to resist? Adolescents’ coping with </w:t>
      </w:r>
    </w:p>
    <w:p w14:paraId="000000C1" w14:textId="0FB1EED6" w:rsidR="00AD7388" w:rsidRPr="009F0DEE" w:rsidRDefault="00B83410" w:rsidP="00531640">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overprotective parenting. </w:t>
      </w:r>
      <w:r w:rsidRPr="009F0DEE">
        <w:rPr>
          <w:rFonts w:ascii="Aptos Narrow" w:eastAsia="Alegreya" w:hAnsi="Aptos Narrow" w:cs="Alegreya"/>
          <w:i/>
          <w:sz w:val="18"/>
          <w:szCs w:val="18"/>
        </w:rPr>
        <w:t>Journal of Applied Developmental Psychology, 82</w:t>
      </w:r>
      <w:r w:rsidRPr="009F0DEE">
        <w:rPr>
          <w:rFonts w:ascii="Aptos Narrow" w:eastAsia="Alegreya" w:hAnsi="Aptos Narrow" w:cs="Alegreya"/>
          <w:sz w:val="18"/>
          <w:szCs w:val="18"/>
        </w:rPr>
        <w:t xml:space="preserve">. </w:t>
      </w:r>
      <w:hyperlink r:id="rId37" w:history="1">
        <w:r w:rsidR="00531640" w:rsidRPr="009F0DEE">
          <w:rPr>
            <w:rStyle w:val="Hyperlink"/>
            <w:rFonts w:ascii="Aptos Narrow" w:eastAsia="Alegreya" w:hAnsi="Aptos Narrow" w:cs="Alegreya"/>
            <w:sz w:val="18"/>
            <w:szCs w:val="18"/>
          </w:rPr>
          <w:t>https://doi.org/10.1016/j.appdev.2022.101444</w:t>
        </w:r>
      </w:hyperlink>
      <w:r w:rsidRPr="009F0DEE">
        <w:rPr>
          <w:rFonts w:ascii="Aptos Narrow" w:eastAsia="Alegreya" w:hAnsi="Aptos Narrow" w:cs="Alegreya"/>
          <w:sz w:val="18"/>
          <w:szCs w:val="18"/>
        </w:rPr>
        <w:t xml:space="preserve"> </w:t>
      </w:r>
    </w:p>
    <w:p w14:paraId="287CA76C" w14:textId="77777777" w:rsidR="00531640" w:rsidRPr="009F0DEE" w:rsidRDefault="00B83410" w:rsidP="00531640">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Font, S. A. &amp; Fluke, J. D. (2024). Understanding and promoting child wellbeing after child welfare system involvement: Progress made and </w:t>
      </w:r>
    </w:p>
    <w:p w14:paraId="2A9B36ED" w14:textId="77777777" w:rsidR="00531640" w:rsidRPr="009F0DEE" w:rsidRDefault="00B83410" w:rsidP="00531640">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challenges ahead. </w:t>
      </w:r>
      <w:r w:rsidRPr="009F0DEE">
        <w:rPr>
          <w:rFonts w:ascii="Aptos Narrow" w:eastAsia="Alegreya" w:hAnsi="Aptos Narrow" w:cs="Alegreya"/>
          <w:i/>
          <w:color w:val="000000"/>
          <w:sz w:val="18"/>
          <w:szCs w:val="18"/>
        </w:rPr>
        <w:t>International Journal on Child Maltreatment: Research, Policy, and Practice, 7</w:t>
      </w:r>
      <w:r w:rsidRPr="009F0DEE">
        <w:rPr>
          <w:rFonts w:ascii="Aptos Narrow" w:eastAsia="Alegreya" w:hAnsi="Aptos Narrow" w:cs="Alegreya"/>
          <w:color w:val="000000"/>
          <w:sz w:val="18"/>
          <w:szCs w:val="18"/>
        </w:rPr>
        <w:t>, 1-17. </w:t>
      </w:r>
    </w:p>
    <w:p w14:paraId="000000C4" w14:textId="083D5E38" w:rsidR="00AD7388" w:rsidRPr="009F0DEE" w:rsidRDefault="00531640" w:rsidP="00531640">
      <w:pPr>
        <w:shd w:val="clear" w:color="auto" w:fill="FFFFFF"/>
        <w:spacing w:after="0" w:line="240" w:lineRule="auto"/>
        <w:ind w:firstLine="720"/>
        <w:rPr>
          <w:rFonts w:ascii="Aptos Narrow" w:eastAsia="Alegreya" w:hAnsi="Aptos Narrow" w:cs="Alegreya"/>
          <w:color w:val="000000"/>
          <w:sz w:val="18"/>
          <w:szCs w:val="18"/>
          <w:lang w:val="pl-PL"/>
        </w:rPr>
      </w:pPr>
      <w:hyperlink r:id="rId38" w:history="1">
        <w:r w:rsidRPr="009F0DEE">
          <w:rPr>
            <w:rStyle w:val="Hyperlink"/>
            <w:rFonts w:ascii="Aptos Narrow" w:eastAsia="Alegreya" w:hAnsi="Aptos Narrow" w:cs="Alegreya"/>
            <w:sz w:val="18"/>
            <w:szCs w:val="18"/>
            <w:lang w:val="pl-PL"/>
          </w:rPr>
          <w:t>https://doi.org/10.1007/s42448-023-00166-9</w:t>
        </w:r>
      </w:hyperlink>
      <w:r w:rsidRPr="009F0DEE">
        <w:rPr>
          <w:rFonts w:ascii="Aptos Narrow" w:eastAsia="Alegreya" w:hAnsi="Aptos Narrow" w:cs="Alegreya"/>
          <w:color w:val="000000"/>
          <w:sz w:val="18"/>
          <w:szCs w:val="18"/>
          <w:lang w:val="pl-PL"/>
        </w:rPr>
        <w:t> </w:t>
      </w:r>
    </w:p>
    <w:p w14:paraId="000000C5" w14:textId="77777777"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lang w:val="pl-PL"/>
        </w:rPr>
        <w:t xml:space="preserve">Fryt, J., Duell, N., Szczygieł, M. (2024). </w:t>
      </w:r>
      <w:r w:rsidRPr="009F0DEE">
        <w:rPr>
          <w:rFonts w:ascii="Aptos Narrow" w:eastAsia="Alegreya" w:hAnsi="Aptos Narrow" w:cs="Alegreya"/>
          <w:sz w:val="18"/>
          <w:szCs w:val="18"/>
        </w:rPr>
        <w:t xml:space="preserve">Psychological profiles associated with positive and negative risk-taking in adults. </w:t>
      </w:r>
      <w:r w:rsidRPr="009F0DEE">
        <w:rPr>
          <w:rFonts w:ascii="Aptos Narrow" w:eastAsia="Alegreya" w:hAnsi="Aptos Narrow" w:cs="Alegreya"/>
          <w:i/>
          <w:sz w:val="18"/>
          <w:szCs w:val="18"/>
        </w:rPr>
        <w:t>Current Psychology, 43,</w:t>
      </w:r>
      <w:r w:rsidRPr="009F0DEE">
        <w:rPr>
          <w:rFonts w:ascii="Aptos Narrow" w:eastAsia="Alegreya" w:hAnsi="Aptos Narrow" w:cs="Alegreya"/>
          <w:sz w:val="18"/>
          <w:szCs w:val="18"/>
        </w:rPr>
        <w:t xml:space="preserve"> </w:t>
      </w:r>
    </w:p>
    <w:p w14:paraId="000000C6" w14:textId="77777777" w:rsidR="00AD7388" w:rsidRPr="009F0DEE" w:rsidRDefault="00B83410">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12744-12753. </w:t>
      </w:r>
      <w:hyperlink r:id="rId39">
        <w:r w:rsidR="00AD7388" w:rsidRPr="009F0DEE">
          <w:rPr>
            <w:rFonts w:ascii="Aptos Narrow" w:eastAsia="Alegreya" w:hAnsi="Aptos Narrow" w:cs="Alegreya"/>
            <w:color w:val="1155CC"/>
            <w:sz w:val="18"/>
            <w:szCs w:val="18"/>
            <w:u w:val="single"/>
          </w:rPr>
          <w:t>https://doi.org/10.1007/s12144-023-05349-8</w:t>
        </w:r>
      </w:hyperlink>
      <w:r w:rsidRPr="009F0DEE">
        <w:rPr>
          <w:rFonts w:ascii="Aptos Narrow" w:eastAsia="Alegreya" w:hAnsi="Aptos Narrow" w:cs="Alegreya"/>
          <w:sz w:val="18"/>
          <w:szCs w:val="18"/>
        </w:rPr>
        <w:t xml:space="preserve"> </w:t>
      </w:r>
    </w:p>
    <w:p w14:paraId="6F53A3CF" w14:textId="77777777" w:rsidR="00531640" w:rsidRPr="009F0DEE" w:rsidRDefault="00B83410" w:rsidP="0053164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Gairal-Casado, r., Duque, E. Ramis-Salas, M., Valls, R. (2022). “My friends are like my family”: The positive impact of high quality friendships on </w:t>
      </w:r>
    </w:p>
    <w:p w14:paraId="1EA613BE" w14:textId="64501572" w:rsidR="00531640" w:rsidRPr="009F0DEE" w:rsidRDefault="00B83410" w:rsidP="00531640">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former foster care youth. </w:t>
      </w:r>
      <w:r w:rsidRPr="009F0DEE">
        <w:rPr>
          <w:rFonts w:ascii="Aptos Narrow" w:eastAsia="Alegreya" w:hAnsi="Aptos Narrow" w:cs="Alegreya"/>
          <w:i/>
          <w:sz w:val="18"/>
          <w:szCs w:val="18"/>
        </w:rPr>
        <w:t>Children and Society, 37,</w:t>
      </w:r>
      <w:r w:rsidRPr="009F0DEE">
        <w:rPr>
          <w:rFonts w:ascii="Aptos Narrow" w:eastAsia="Alegreya" w:hAnsi="Aptos Narrow" w:cs="Alegreya"/>
          <w:sz w:val="18"/>
          <w:szCs w:val="18"/>
        </w:rPr>
        <w:t xml:space="preserve"> 1829-1845. </w:t>
      </w:r>
    </w:p>
    <w:p w14:paraId="000000C9" w14:textId="38E40524" w:rsidR="00AD7388" w:rsidRPr="009F0DEE" w:rsidRDefault="00531640" w:rsidP="00531640">
      <w:pPr>
        <w:shd w:val="clear" w:color="auto" w:fill="FFFFFF"/>
        <w:spacing w:after="0" w:line="240" w:lineRule="auto"/>
        <w:ind w:firstLine="720"/>
        <w:rPr>
          <w:rFonts w:ascii="Aptos Narrow" w:eastAsia="Alegreya" w:hAnsi="Aptos Narrow" w:cs="Alegreya"/>
          <w:sz w:val="18"/>
          <w:szCs w:val="18"/>
        </w:rPr>
      </w:pPr>
      <w:hyperlink r:id="rId40" w:history="1">
        <w:r w:rsidRPr="009F0DEE">
          <w:rPr>
            <w:rStyle w:val="Hyperlink"/>
            <w:rFonts w:ascii="Aptos Narrow" w:eastAsia="Alegreya" w:hAnsi="Aptos Narrow" w:cs="Alegreya"/>
            <w:sz w:val="18"/>
            <w:szCs w:val="18"/>
          </w:rPr>
          <w:t>https://doi.org/10.1111/chso.12683</w:t>
        </w:r>
      </w:hyperlink>
      <w:r w:rsidRPr="009F0DEE">
        <w:rPr>
          <w:rFonts w:ascii="Aptos Narrow" w:eastAsia="Alegreya" w:hAnsi="Aptos Narrow" w:cs="Alegreya"/>
          <w:sz w:val="18"/>
          <w:szCs w:val="18"/>
        </w:rPr>
        <w:t xml:space="preserve"> </w:t>
      </w:r>
    </w:p>
    <w:p w14:paraId="000000CA" w14:textId="77777777"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color w:val="000000"/>
          <w:sz w:val="18"/>
          <w:szCs w:val="18"/>
        </w:rPr>
        <w:t xml:space="preserve">Galván, A. (2025, August 12). </w:t>
      </w:r>
      <w:r w:rsidRPr="009F0DEE">
        <w:rPr>
          <w:rFonts w:ascii="Aptos Narrow" w:eastAsia="Alegreya" w:hAnsi="Aptos Narrow" w:cs="Alegreya"/>
          <w:i/>
          <w:color w:val="000000"/>
          <w:sz w:val="18"/>
          <w:szCs w:val="18"/>
        </w:rPr>
        <w:t>Teens take risks. We should be happy they do.</w:t>
      </w:r>
      <w:r w:rsidRPr="009F0DEE">
        <w:rPr>
          <w:rFonts w:ascii="Aptos Narrow" w:eastAsia="Alegreya" w:hAnsi="Aptos Narrow" w:cs="Alegreya"/>
          <w:color w:val="000000"/>
          <w:sz w:val="18"/>
          <w:szCs w:val="18"/>
        </w:rPr>
        <w:t xml:space="preserve"> Brain Facts.  </w:t>
      </w:r>
    </w:p>
    <w:p w14:paraId="000000CB" w14:textId="77777777" w:rsidR="00AD7388" w:rsidRPr="009F0DEE" w:rsidRDefault="00AD7388">
      <w:pPr>
        <w:shd w:val="clear" w:color="auto" w:fill="FFFFFF"/>
        <w:spacing w:after="0" w:line="240" w:lineRule="auto"/>
        <w:ind w:left="720"/>
        <w:rPr>
          <w:rFonts w:ascii="Aptos Narrow" w:eastAsia="Alegreya" w:hAnsi="Aptos Narrow" w:cs="Alegreya"/>
          <w:sz w:val="18"/>
          <w:szCs w:val="18"/>
        </w:rPr>
      </w:pPr>
      <w:hyperlink r:id="rId41">
        <w:r w:rsidRPr="009F0DEE">
          <w:rPr>
            <w:rFonts w:ascii="Aptos Narrow" w:eastAsia="Alegreya" w:hAnsi="Aptos Narrow" w:cs="Alegreya"/>
            <w:color w:val="467886"/>
            <w:sz w:val="18"/>
            <w:szCs w:val="18"/>
            <w:u w:val="single"/>
          </w:rPr>
          <w:t>https://www.brainfacts.org/thinking-sensing-and-behaving/childhood-and-adolescence/2025/teens-take-risks-we-sh</w:t>
        </w:r>
      </w:hyperlink>
      <w:hyperlink r:id="rId42">
        <w:r w:rsidRPr="009F0DEE">
          <w:rPr>
            <w:rFonts w:ascii="Aptos Narrow" w:eastAsia="Alegreya" w:hAnsi="Aptos Narrow" w:cs="Alegreya"/>
            <w:color w:val="1155CC"/>
            <w:sz w:val="18"/>
            <w:szCs w:val="18"/>
            <w:u w:val="single"/>
          </w:rPr>
          <w:t>ould-be-happy-they-do-081225</w:t>
        </w:r>
      </w:hyperlink>
    </w:p>
    <w:p w14:paraId="40B3A8E6" w14:textId="77777777" w:rsidR="00531640" w:rsidRPr="009F0DEE" w:rsidRDefault="00B83410" w:rsidP="00531640">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Galván, A., Fagell, P., Prinstein, M., Cartney, S. (2025). </w:t>
      </w:r>
      <w:r w:rsidRPr="009F0DEE">
        <w:rPr>
          <w:rFonts w:ascii="Aptos Narrow" w:eastAsia="Alegreya" w:hAnsi="Aptos Narrow" w:cs="Alegreya"/>
          <w:i/>
          <w:color w:val="000000"/>
          <w:sz w:val="18"/>
          <w:szCs w:val="18"/>
        </w:rPr>
        <w:t xml:space="preserve">Love in adolescence 4: The importance of friendships and platonic love </w:t>
      </w:r>
      <w:r w:rsidRPr="009F0DEE">
        <w:rPr>
          <w:rFonts w:ascii="Aptos Narrow" w:eastAsia="Alegreya" w:hAnsi="Aptos Narrow" w:cs="Alegreya"/>
          <w:color w:val="000000"/>
          <w:sz w:val="18"/>
          <w:szCs w:val="18"/>
        </w:rPr>
        <w:t xml:space="preserve">[Webinar]. UCLA </w:t>
      </w:r>
    </w:p>
    <w:p w14:paraId="000000CE" w14:textId="4A588358" w:rsidR="00AD7388" w:rsidRPr="009F0DEE" w:rsidRDefault="00B83410" w:rsidP="00531640">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color w:val="000000"/>
          <w:sz w:val="18"/>
          <w:szCs w:val="18"/>
        </w:rPr>
        <w:t>Center for the Developing Adolescent. </w:t>
      </w:r>
      <w:hyperlink r:id="rId43" w:history="1">
        <w:r w:rsidR="00531640" w:rsidRPr="009F0DEE">
          <w:rPr>
            <w:rStyle w:val="Hyperlink"/>
            <w:rFonts w:ascii="Aptos Narrow" w:eastAsia="Alegreya" w:hAnsi="Aptos Narrow" w:cs="Alegreya"/>
            <w:sz w:val="18"/>
            <w:szCs w:val="18"/>
          </w:rPr>
          <w:t>https://youtu.be/y5bj8djGI-I?si=TmP_HKmtLxv3X4MW</w:t>
        </w:r>
      </w:hyperlink>
      <w:r w:rsidRPr="009F0DEE">
        <w:rPr>
          <w:rFonts w:ascii="Aptos Narrow" w:eastAsia="Alegreya" w:hAnsi="Aptos Narrow" w:cs="Alegreya"/>
          <w:color w:val="000000"/>
          <w:sz w:val="18"/>
          <w:szCs w:val="18"/>
        </w:rPr>
        <w:t> </w:t>
      </w:r>
    </w:p>
    <w:p w14:paraId="000000CF" w14:textId="77777777"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Ginott, H. G. (1969). </w:t>
      </w:r>
      <w:r w:rsidRPr="009F0DEE">
        <w:rPr>
          <w:rFonts w:ascii="Aptos Narrow" w:eastAsia="Alegreya" w:hAnsi="Aptos Narrow" w:cs="Alegreya"/>
          <w:i/>
          <w:sz w:val="18"/>
          <w:szCs w:val="18"/>
        </w:rPr>
        <w:t>Between parent and teenager.</w:t>
      </w:r>
      <w:r w:rsidRPr="009F0DEE">
        <w:rPr>
          <w:rFonts w:ascii="Aptos Narrow" w:eastAsia="Alegreya" w:hAnsi="Aptos Narrow" w:cs="Alegreya"/>
          <w:sz w:val="18"/>
          <w:szCs w:val="18"/>
        </w:rPr>
        <w:t xml:space="preserve"> Macmillan. </w:t>
      </w:r>
    </w:p>
    <w:p w14:paraId="121FED8C" w14:textId="77777777" w:rsidR="00531640" w:rsidRPr="009F0DEE" w:rsidRDefault="00B83410" w:rsidP="00531640">
      <w:pPr>
        <w:shd w:val="clear" w:color="auto" w:fill="FFFFFF"/>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Gittins, C. B. &amp; Hunt, C. (2019). Parental behavioral</w:t>
      </w:r>
      <w:r w:rsidRPr="009F0DEE">
        <w:rPr>
          <w:rFonts w:ascii="Aptos Narrow" w:eastAsia="Alegreya" w:hAnsi="Aptos Narrow" w:cs="Alegreya"/>
          <w:sz w:val="18"/>
          <w:szCs w:val="18"/>
        </w:rPr>
        <w:t xml:space="preserve"> control in adolescence: How does it affect self-esteem and self-criticism? </w:t>
      </w:r>
      <w:r w:rsidRPr="009F0DEE">
        <w:rPr>
          <w:rFonts w:ascii="Aptos Narrow" w:eastAsia="Alegreya" w:hAnsi="Aptos Narrow" w:cs="Alegreya"/>
          <w:i/>
          <w:sz w:val="18"/>
          <w:szCs w:val="18"/>
        </w:rPr>
        <w:t xml:space="preserve">Journal of </w:t>
      </w:r>
    </w:p>
    <w:p w14:paraId="000000D1" w14:textId="4BBC4E98" w:rsidR="00AD7388" w:rsidRPr="009F0DEE" w:rsidRDefault="00B83410" w:rsidP="00531640">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Adolescence, 73,</w:t>
      </w:r>
      <w:r w:rsidRPr="009F0DEE">
        <w:rPr>
          <w:rFonts w:ascii="Aptos Narrow" w:eastAsia="Alegreya" w:hAnsi="Aptos Narrow" w:cs="Alegreya"/>
          <w:sz w:val="18"/>
          <w:szCs w:val="18"/>
        </w:rPr>
        <w:t xml:space="preserve"> 26-35. </w:t>
      </w:r>
      <w:hyperlink r:id="rId44">
        <w:r w:rsidR="00AD7388" w:rsidRPr="009F0DEE">
          <w:rPr>
            <w:rFonts w:ascii="Aptos Narrow" w:eastAsia="Alegreya" w:hAnsi="Aptos Narrow" w:cs="Alegreya"/>
            <w:color w:val="1155CC"/>
            <w:sz w:val="18"/>
            <w:szCs w:val="18"/>
            <w:u w:val="single"/>
          </w:rPr>
          <w:t>https://doi.org/10.1016/j.adolescence.2019.03.004</w:t>
        </w:r>
      </w:hyperlink>
      <w:r w:rsidRPr="009F0DEE">
        <w:rPr>
          <w:rFonts w:ascii="Aptos Narrow" w:eastAsia="Alegreya" w:hAnsi="Aptos Narrow" w:cs="Alegreya"/>
          <w:sz w:val="18"/>
          <w:szCs w:val="18"/>
        </w:rPr>
        <w:t xml:space="preserve"> </w:t>
      </w:r>
    </w:p>
    <w:p w14:paraId="000000D2" w14:textId="77777777"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Gong, F., Gong, Z., Liu, H., Yi, P., Jia, Y., Zhuang, J., Shu, J., Huang, X., Wu, Y. (2024). The impact of problematic internet use on adolescent </w:t>
      </w:r>
    </w:p>
    <w:p w14:paraId="000000D3" w14:textId="77777777" w:rsidR="00AD7388" w:rsidRPr="009F0DEE" w:rsidRDefault="00B83410">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loneliness - Chain mediation effects of social support and family communication. </w:t>
      </w:r>
      <w:r w:rsidRPr="009F0DEE">
        <w:rPr>
          <w:rFonts w:ascii="Aptos Narrow" w:eastAsia="Alegreya" w:hAnsi="Aptos Narrow" w:cs="Alegreya"/>
          <w:i/>
          <w:sz w:val="18"/>
          <w:szCs w:val="18"/>
        </w:rPr>
        <w:t>Psychology Research and Behavior Management, 17</w:t>
      </w:r>
      <w:r w:rsidRPr="009F0DEE">
        <w:rPr>
          <w:rFonts w:ascii="Aptos Narrow" w:eastAsia="Alegreya" w:hAnsi="Aptos Narrow" w:cs="Alegreya"/>
          <w:sz w:val="18"/>
          <w:szCs w:val="18"/>
        </w:rPr>
        <w:t xml:space="preserve">. </w:t>
      </w:r>
    </w:p>
    <w:p w14:paraId="000000D4" w14:textId="77777777" w:rsidR="00AD7388" w:rsidRPr="009F0DEE" w:rsidRDefault="00AD7388">
      <w:pPr>
        <w:shd w:val="clear" w:color="auto" w:fill="FFFFFF"/>
        <w:spacing w:after="0" w:line="240" w:lineRule="auto"/>
        <w:ind w:firstLine="720"/>
        <w:rPr>
          <w:rFonts w:ascii="Aptos Narrow" w:eastAsia="Alegreya" w:hAnsi="Aptos Narrow" w:cs="Alegreya"/>
          <w:sz w:val="18"/>
          <w:szCs w:val="18"/>
        </w:rPr>
      </w:pPr>
      <w:hyperlink r:id="rId45">
        <w:r w:rsidRPr="009F0DEE">
          <w:rPr>
            <w:rFonts w:ascii="Aptos Narrow" w:eastAsia="Alegreya" w:hAnsi="Aptos Narrow" w:cs="Alegreya"/>
            <w:color w:val="1155CC"/>
            <w:sz w:val="18"/>
            <w:szCs w:val="18"/>
            <w:u w:val="single"/>
          </w:rPr>
          <w:t>https://doi.org/10.2147/PRBM.S443349</w:t>
        </w:r>
      </w:hyperlink>
      <w:r w:rsidRPr="009F0DEE">
        <w:rPr>
          <w:rFonts w:ascii="Aptos Narrow" w:eastAsia="Alegreya" w:hAnsi="Aptos Narrow" w:cs="Alegreya"/>
          <w:sz w:val="18"/>
          <w:szCs w:val="18"/>
        </w:rPr>
        <w:t xml:space="preserve"> </w:t>
      </w:r>
    </w:p>
    <w:p w14:paraId="57F0A7C7" w14:textId="77777777" w:rsidR="007773C2" w:rsidRPr="009F0DEE" w:rsidRDefault="00B83410" w:rsidP="00531640">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Gorrese, A., &amp; Ruggieri, R. (2012). Peer attachment: A meta-analytic review of gender and age differences and associations with parent attachment. </w:t>
      </w:r>
    </w:p>
    <w:p w14:paraId="000000D7" w14:textId="360E26BB"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i/>
          <w:color w:val="000000"/>
          <w:sz w:val="18"/>
          <w:szCs w:val="18"/>
        </w:rPr>
        <w:t>Journal of Youth and Adolescence, 41</w:t>
      </w:r>
      <w:r w:rsidRPr="009F0DEE">
        <w:rPr>
          <w:rFonts w:ascii="Aptos Narrow" w:eastAsia="Alegreya" w:hAnsi="Aptos Narrow" w:cs="Alegreya"/>
          <w:color w:val="000000"/>
          <w:sz w:val="18"/>
          <w:szCs w:val="18"/>
        </w:rPr>
        <w:t>(5), 650-672.</w:t>
      </w:r>
      <w:r w:rsidR="00531640" w:rsidRPr="009F0DEE">
        <w:rPr>
          <w:rFonts w:ascii="Aptos Narrow" w:eastAsia="Alegreya" w:hAnsi="Aptos Narrow" w:cs="Alegreya"/>
          <w:color w:val="000000"/>
          <w:sz w:val="18"/>
          <w:szCs w:val="18"/>
        </w:rPr>
        <w:t xml:space="preserve"> </w:t>
      </w:r>
      <w:hyperlink r:id="rId46" w:history="1">
        <w:r w:rsidR="00531640" w:rsidRPr="009F0DEE">
          <w:rPr>
            <w:rStyle w:val="Hyperlink"/>
            <w:rFonts w:ascii="Aptos Narrow" w:eastAsia="Alegreya" w:hAnsi="Aptos Narrow" w:cs="Alegreya"/>
            <w:sz w:val="18"/>
            <w:szCs w:val="18"/>
          </w:rPr>
          <w:t>https://doi.org/10.1007/s10964-012-9759-6</w:t>
        </w:r>
      </w:hyperlink>
      <w:r w:rsidRPr="009F0DEE">
        <w:rPr>
          <w:rFonts w:ascii="Aptos Narrow" w:eastAsia="Alegreya" w:hAnsi="Aptos Narrow" w:cs="Alegreya"/>
          <w:color w:val="000000"/>
          <w:sz w:val="18"/>
          <w:szCs w:val="18"/>
        </w:rPr>
        <w:t xml:space="preserve"> </w:t>
      </w:r>
    </w:p>
    <w:p w14:paraId="2207985A" w14:textId="613919F1" w:rsidR="00023C7C" w:rsidRPr="009F0DEE" w:rsidRDefault="00023C7C"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Guinchard, S. (2024). </w:t>
      </w:r>
      <w:r w:rsidR="00E31596" w:rsidRPr="009F0DEE">
        <w:rPr>
          <w:rFonts w:ascii="Aptos Narrow" w:eastAsia="Alegreya" w:hAnsi="Aptos Narrow" w:cs="Alegreya"/>
          <w:sz w:val="18"/>
          <w:szCs w:val="18"/>
        </w:rPr>
        <w:t xml:space="preserve">The importance of friendships for young </w:t>
      </w:r>
    </w:p>
    <w:p w14:paraId="0FFC4040" w14:textId="228D4E75" w:rsidR="007773C2" w:rsidRPr="009F0DEE" w:rsidRDefault="00B83410" w:rsidP="007773C2">
      <w:pPr>
        <w:shd w:val="clear" w:color="auto" w:fill="FFFFFF"/>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 xml:space="preserve">Güroğlu, B. (2022). The power of friendship: The developmental significance of friendships from a neuroscience perspective. </w:t>
      </w:r>
      <w:r w:rsidRPr="009F0DEE">
        <w:rPr>
          <w:rFonts w:ascii="Aptos Narrow" w:eastAsia="Alegreya" w:hAnsi="Aptos Narrow" w:cs="Alegreya"/>
          <w:i/>
          <w:sz w:val="18"/>
          <w:szCs w:val="18"/>
        </w:rPr>
        <w:t xml:space="preserve">Child Development </w:t>
      </w:r>
    </w:p>
    <w:p w14:paraId="000000D9" w14:textId="20D11415"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Perspectives, 16</w:t>
      </w:r>
      <w:r w:rsidRPr="009F0DEE">
        <w:rPr>
          <w:rFonts w:ascii="Aptos Narrow" w:eastAsia="Alegreya" w:hAnsi="Aptos Narrow" w:cs="Alegreya"/>
          <w:sz w:val="18"/>
          <w:szCs w:val="18"/>
        </w:rPr>
        <w:t xml:space="preserve">(2), 110-117. </w:t>
      </w:r>
      <w:hyperlink r:id="rId47">
        <w:r w:rsidR="00AD7388" w:rsidRPr="009F0DEE">
          <w:rPr>
            <w:rFonts w:ascii="Aptos Narrow" w:eastAsia="Alegreya" w:hAnsi="Aptos Narrow" w:cs="Alegreya"/>
            <w:color w:val="1155CC"/>
            <w:sz w:val="18"/>
            <w:szCs w:val="18"/>
            <w:u w:val="single"/>
          </w:rPr>
          <w:t>https://doi.org/10.1111/cdep.12450</w:t>
        </w:r>
      </w:hyperlink>
      <w:r w:rsidRPr="009F0DEE">
        <w:rPr>
          <w:rFonts w:ascii="Aptos Narrow" w:eastAsia="Alegreya" w:hAnsi="Aptos Narrow" w:cs="Alegreya"/>
          <w:sz w:val="18"/>
          <w:szCs w:val="18"/>
        </w:rPr>
        <w:t xml:space="preserve"> </w:t>
      </w:r>
    </w:p>
    <w:p w14:paraId="000000DA" w14:textId="77777777"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Haidt, J. (2012). </w:t>
      </w:r>
      <w:r w:rsidRPr="009F0DEE">
        <w:rPr>
          <w:rFonts w:ascii="Aptos Narrow" w:eastAsia="Alegreya" w:hAnsi="Aptos Narrow" w:cs="Alegreya"/>
          <w:i/>
          <w:sz w:val="18"/>
          <w:szCs w:val="18"/>
        </w:rPr>
        <w:t xml:space="preserve">The righteous mind: Why good people are divided by politics and religion. </w:t>
      </w:r>
      <w:r w:rsidRPr="009F0DEE">
        <w:rPr>
          <w:rFonts w:ascii="Aptos Narrow" w:eastAsia="Alegreya" w:hAnsi="Aptos Narrow" w:cs="Alegreya"/>
          <w:sz w:val="18"/>
          <w:szCs w:val="18"/>
        </w:rPr>
        <w:t xml:space="preserve">New York: Vintage Books. ISBN: 9780307455772 </w:t>
      </w:r>
    </w:p>
    <w:p w14:paraId="68E6D439" w14:textId="77777777" w:rsidR="007773C2" w:rsidRPr="009F0DEE" w:rsidRDefault="00B83410"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Haidt, J. (2024). </w:t>
      </w:r>
      <w:r w:rsidRPr="009F0DEE">
        <w:rPr>
          <w:rFonts w:ascii="Aptos Narrow" w:eastAsia="Alegreya" w:hAnsi="Aptos Narrow" w:cs="Alegreya"/>
          <w:i/>
          <w:sz w:val="18"/>
          <w:szCs w:val="18"/>
        </w:rPr>
        <w:t>The anxious generation: How the great rewiring of childhood is causing an epidemic of mental illness</w:t>
      </w:r>
      <w:r w:rsidRPr="009F0DEE">
        <w:rPr>
          <w:rFonts w:ascii="Aptos Narrow" w:eastAsia="Alegreya" w:hAnsi="Aptos Narrow" w:cs="Alegreya"/>
          <w:sz w:val="18"/>
          <w:szCs w:val="18"/>
        </w:rPr>
        <w:t xml:space="preserve">. Penguin Press. ISBN: </w:t>
      </w:r>
    </w:p>
    <w:p w14:paraId="000000DC" w14:textId="496954CB"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9780593655030</w:t>
      </w:r>
    </w:p>
    <w:p w14:paraId="6E2630CA" w14:textId="77777777" w:rsidR="007773C2" w:rsidRPr="009F0DEE" w:rsidRDefault="00B83410"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Haddow, S., Taylor, E. P., Schwannauer, M. (2021). Positive peer relationships, coping and resilience in young people in alternative care: A</w:t>
      </w:r>
    </w:p>
    <w:p w14:paraId="000000DF" w14:textId="31F0F0C3" w:rsidR="00AD7388" w:rsidRPr="009F0DEE" w:rsidRDefault="00B83410" w:rsidP="007773C2">
      <w:pPr>
        <w:shd w:val="clear" w:color="auto" w:fill="FFFFFF"/>
        <w:spacing w:after="0" w:line="240" w:lineRule="auto"/>
        <w:ind w:firstLine="720"/>
        <w:rPr>
          <w:rFonts w:ascii="Aptos Narrow" w:eastAsia="Alegreya" w:hAnsi="Aptos Narrow" w:cs="Alegreya"/>
          <w:sz w:val="18"/>
          <w:szCs w:val="18"/>
          <w:lang w:val="pl-PL"/>
        </w:rPr>
      </w:pPr>
      <w:r w:rsidRPr="009F0DEE">
        <w:rPr>
          <w:rFonts w:ascii="Aptos Narrow" w:eastAsia="Alegreya" w:hAnsi="Aptos Narrow" w:cs="Alegreya"/>
          <w:sz w:val="18"/>
          <w:szCs w:val="18"/>
        </w:rPr>
        <w:t xml:space="preserve">systematic review. </w:t>
      </w:r>
      <w:r w:rsidRPr="009F0DEE">
        <w:rPr>
          <w:rFonts w:ascii="Aptos Narrow" w:eastAsia="Alegreya" w:hAnsi="Aptos Narrow" w:cs="Alegreya"/>
          <w:i/>
          <w:sz w:val="18"/>
          <w:szCs w:val="18"/>
        </w:rPr>
        <w:t>Children and Youth Services Review, 122</w:t>
      </w:r>
      <w:r w:rsidRPr="009F0DEE">
        <w:rPr>
          <w:rFonts w:ascii="Aptos Narrow" w:eastAsia="Alegreya" w:hAnsi="Aptos Narrow" w:cs="Alegreya"/>
          <w:sz w:val="18"/>
          <w:szCs w:val="18"/>
        </w:rPr>
        <w:t xml:space="preserve">. </w:t>
      </w:r>
      <w:hyperlink r:id="rId48" w:history="1">
        <w:r w:rsidR="007773C2" w:rsidRPr="009F0DEE">
          <w:rPr>
            <w:rStyle w:val="Hyperlink"/>
            <w:rFonts w:ascii="Aptos Narrow" w:eastAsia="Alegreya" w:hAnsi="Aptos Narrow" w:cs="Alegreya"/>
            <w:sz w:val="18"/>
            <w:szCs w:val="18"/>
            <w:lang w:val="pl-PL"/>
          </w:rPr>
          <w:t>https://doi.org/10.1016/j.childyouth.2020.105861</w:t>
        </w:r>
      </w:hyperlink>
      <w:r w:rsidRPr="009F0DEE">
        <w:rPr>
          <w:rFonts w:ascii="Aptos Narrow" w:eastAsia="Alegreya" w:hAnsi="Aptos Narrow" w:cs="Alegreya"/>
          <w:sz w:val="18"/>
          <w:szCs w:val="18"/>
          <w:lang w:val="pl-PL"/>
        </w:rPr>
        <w:t xml:space="preserve"> </w:t>
      </w:r>
    </w:p>
    <w:p w14:paraId="30E634B3" w14:textId="77777777" w:rsidR="007773C2" w:rsidRPr="009F0DEE" w:rsidRDefault="00B83410"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lang w:val="pl-PL"/>
        </w:rPr>
        <w:t xml:space="preserve">Haggman-Laitila, A., Salokekkila, P., Karki, S. (2019). </w:t>
      </w:r>
      <w:r w:rsidRPr="009F0DEE">
        <w:rPr>
          <w:rFonts w:ascii="Aptos Narrow" w:eastAsia="Alegreya" w:hAnsi="Aptos Narrow" w:cs="Alegreya"/>
          <w:sz w:val="18"/>
          <w:szCs w:val="18"/>
        </w:rPr>
        <w:t xml:space="preserve">Young people’s preparedness for adult life and coping after foster care: A systematic review of </w:t>
      </w:r>
    </w:p>
    <w:p w14:paraId="0106090A" w14:textId="77777777" w:rsidR="007773C2"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perceptions and experience in the transition period. </w:t>
      </w:r>
      <w:r w:rsidRPr="009F0DEE">
        <w:rPr>
          <w:rFonts w:ascii="Aptos Narrow" w:eastAsia="Alegreya" w:hAnsi="Aptos Narrow" w:cs="Alegreya"/>
          <w:i/>
          <w:sz w:val="18"/>
          <w:szCs w:val="18"/>
        </w:rPr>
        <w:t>Child &amp; Youth Care Forum, 48,</w:t>
      </w:r>
      <w:r w:rsidRPr="009F0DEE">
        <w:rPr>
          <w:rFonts w:ascii="Aptos Narrow" w:eastAsia="Alegreya" w:hAnsi="Aptos Narrow" w:cs="Alegreya"/>
          <w:sz w:val="18"/>
          <w:szCs w:val="18"/>
        </w:rPr>
        <w:t xml:space="preserve"> 633-661. </w:t>
      </w:r>
    </w:p>
    <w:p w14:paraId="000000E2" w14:textId="0282ACDF" w:rsidR="00AD7388" w:rsidRPr="009F0DEE" w:rsidRDefault="007773C2" w:rsidP="007773C2">
      <w:pPr>
        <w:shd w:val="clear" w:color="auto" w:fill="FFFFFF"/>
        <w:spacing w:after="0" w:line="240" w:lineRule="auto"/>
        <w:ind w:firstLine="720"/>
        <w:rPr>
          <w:rFonts w:ascii="Aptos Narrow" w:eastAsia="Alegreya" w:hAnsi="Aptos Narrow" w:cs="Alegreya"/>
          <w:sz w:val="18"/>
          <w:szCs w:val="18"/>
        </w:rPr>
      </w:pPr>
      <w:hyperlink r:id="rId49" w:history="1">
        <w:r w:rsidRPr="009F0DEE">
          <w:rPr>
            <w:rStyle w:val="Hyperlink"/>
            <w:rFonts w:ascii="Aptos Narrow" w:eastAsia="Alegreya" w:hAnsi="Aptos Narrow" w:cs="Alegreya"/>
            <w:sz w:val="18"/>
            <w:szCs w:val="18"/>
          </w:rPr>
          <w:t>https://doi.org/10.1007/s10566-019-09499-4</w:t>
        </w:r>
      </w:hyperlink>
      <w:r w:rsidRPr="009F0DEE">
        <w:rPr>
          <w:rFonts w:ascii="Aptos Narrow" w:eastAsia="Alegreya" w:hAnsi="Aptos Narrow" w:cs="Alegreya"/>
          <w:sz w:val="18"/>
          <w:szCs w:val="18"/>
        </w:rPr>
        <w:t xml:space="preserve"> </w:t>
      </w:r>
    </w:p>
    <w:p w14:paraId="000000E3" w14:textId="77777777"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Harakeh, Z. &amp; de Boer, A. (2019). The effect of active and passive peer encouragement on adolescent risk-taking. </w:t>
      </w:r>
      <w:r w:rsidRPr="009F0DEE">
        <w:rPr>
          <w:rFonts w:ascii="Aptos Narrow" w:eastAsia="Alegreya" w:hAnsi="Aptos Narrow" w:cs="Alegreya"/>
          <w:i/>
          <w:sz w:val="18"/>
          <w:szCs w:val="18"/>
        </w:rPr>
        <w:t>Journal of Adolescence, 71,</w:t>
      </w:r>
      <w:r w:rsidRPr="009F0DEE">
        <w:rPr>
          <w:rFonts w:ascii="Aptos Narrow" w:eastAsia="Alegreya" w:hAnsi="Aptos Narrow" w:cs="Alegreya"/>
          <w:sz w:val="18"/>
          <w:szCs w:val="18"/>
        </w:rPr>
        <w:t xml:space="preserve"> 10-17. </w:t>
      </w:r>
    </w:p>
    <w:p w14:paraId="000000E4" w14:textId="77777777" w:rsidR="00AD7388" w:rsidRPr="009F0DEE" w:rsidRDefault="00AD7388">
      <w:pPr>
        <w:shd w:val="clear" w:color="auto" w:fill="FFFFFF"/>
        <w:spacing w:after="0" w:line="240" w:lineRule="auto"/>
        <w:ind w:firstLine="720"/>
        <w:rPr>
          <w:rFonts w:ascii="Aptos Narrow" w:eastAsia="Alegreya" w:hAnsi="Aptos Narrow" w:cs="Alegreya"/>
          <w:sz w:val="18"/>
          <w:szCs w:val="18"/>
        </w:rPr>
      </w:pPr>
      <w:hyperlink r:id="rId50">
        <w:r w:rsidRPr="009F0DEE">
          <w:rPr>
            <w:rFonts w:ascii="Aptos Narrow" w:eastAsia="Alegreya" w:hAnsi="Aptos Narrow" w:cs="Alegreya"/>
            <w:color w:val="1155CC"/>
            <w:sz w:val="18"/>
            <w:szCs w:val="18"/>
            <w:u w:val="single"/>
          </w:rPr>
          <w:t>https://doi.org/10.1016/j.adolescence.2018.12.004</w:t>
        </w:r>
      </w:hyperlink>
      <w:r w:rsidRPr="009F0DEE">
        <w:rPr>
          <w:rFonts w:ascii="Aptos Narrow" w:eastAsia="Alegreya" w:hAnsi="Aptos Narrow" w:cs="Alegreya"/>
          <w:sz w:val="18"/>
          <w:szCs w:val="18"/>
        </w:rPr>
        <w:t xml:space="preserve">  </w:t>
      </w:r>
    </w:p>
    <w:p w14:paraId="000000E5" w14:textId="77777777"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Hardy, S. A., Bean, D. S., Olsen, J. A. (2014). Moral identity and adolescent prosocial and antisocial behaviors: Interactions with moral </w:t>
      </w:r>
    </w:p>
    <w:p w14:paraId="000000E6" w14:textId="77777777" w:rsidR="00AD7388" w:rsidRPr="009F0DEE" w:rsidRDefault="00B83410">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disengagement and self-regulation. </w:t>
      </w:r>
      <w:r w:rsidRPr="009F0DEE">
        <w:rPr>
          <w:rFonts w:ascii="Aptos Narrow" w:eastAsia="Alegreya" w:hAnsi="Aptos Narrow" w:cs="Alegreya"/>
          <w:i/>
          <w:sz w:val="18"/>
          <w:szCs w:val="18"/>
        </w:rPr>
        <w:t>Journal of Youth and Adolescence, 44</w:t>
      </w:r>
      <w:r w:rsidRPr="009F0DEE">
        <w:rPr>
          <w:rFonts w:ascii="Aptos Narrow" w:eastAsia="Alegreya" w:hAnsi="Aptos Narrow" w:cs="Alegreya"/>
          <w:sz w:val="18"/>
          <w:szCs w:val="18"/>
        </w:rPr>
        <w:t>, 1542-1554</w:t>
      </w:r>
      <w:r w:rsidRPr="009F0DEE">
        <w:rPr>
          <w:rFonts w:ascii="Aptos Narrow" w:eastAsia="Alegreya" w:hAnsi="Aptos Narrow" w:cs="Alegreya"/>
          <w:i/>
          <w:sz w:val="18"/>
          <w:szCs w:val="18"/>
        </w:rPr>
        <w:t>.</w:t>
      </w:r>
      <w:r w:rsidRPr="009F0DEE">
        <w:rPr>
          <w:rFonts w:ascii="Aptos Narrow" w:eastAsia="Alegreya" w:hAnsi="Aptos Narrow" w:cs="Alegreya"/>
          <w:sz w:val="18"/>
          <w:szCs w:val="18"/>
        </w:rPr>
        <w:t xml:space="preserve"> </w:t>
      </w:r>
      <w:hyperlink r:id="rId51">
        <w:r w:rsidR="00AD7388" w:rsidRPr="009F0DEE">
          <w:rPr>
            <w:rFonts w:ascii="Aptos Narrow" w:eastAsia="Alegreya" w:hAnsi="Aptos Narrow" w:cs="Alegreya"/>
            <w:color w:val="1155CC"/>
            <w:sz w:val="18"/>
            <w:szCs w:val="18"/>
            <w:u w:val="single"/>
          </w:rPr>
          <w:t>https://doi.org/10.1007/s10964-014-0172-1</w:t>
        </w:r>
      </w:hyperlink>
      <w:r w:rsidRPr="009F0DEE">
        <w:rPr>
          <w:rFonts w:ascii="Aptos Narrow" w:eastAsia="Alegreya" w:hAnsi="Aptos Narrow" w:cs="Alegreya"/>
          <w:sz w:val="18"/>
          <w:szCs w:val="18"/>
        </w:rPr>
        <w:t xml:space="preserve"> </w:t>
      </w:r>
    </w:p>
    <w:p w14:paraId="176AA34C" w14:textId="77777777" w:rsidR="007773C2" w:rsidRPr="009F0DEE" w:rsidRDefault="00B83410" w:rsidP="007773C2">
      <w:pPr>
        <w:shd w:val="clear" w:color="auto" w:fill="FFFFFF"/>
        <w:spacing w:after="0" w:line="240" w:lineRule="auto"/>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 xml:space="preserve">Healy, K. L., Sanders, M. R., Iyer, A. (2015). Parenting practices, children’s peer relationships and being bullied at school. </w:t>
      </w:r>
      <w:r w:rsidRPr="009F0DEE">
        <w:rPr>
          <w:rFonts w:ascii="Aptos Narrow" w:eastAsia="Alegreya" w:hAnsi="Aptos Narrow" w:cs="Alegreya"/>
          <w:i/>
          <w:color w:val="000000"/>
          <w:sz w:val="18"/>
          <w:szCs w:val="18"/>
        </w:rPr>
        <w:t xml:space="preserve">Journal of Child and </w:t>
      </w:r>
    </w:p>
    <w:p w14:paraId="000000E9" w14:textId="24BA3AB3"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i/>
          <w:color w:val="000000"/>
          <w:sz w:val="18"/>
          <w:szCs w:val="18"/>
        </w:rPr>
        <w:t>Family Studies, 24,</w:t>
      </w:r>
      <w:r w:rsidRPr="009F0DEE">
        <w:rPr>
          <w:rFonts w:ascii="Aptos Narrow" w:eastAsia="Alegreya" w:hAnsi="Aptos Narrow" w:cs="Alegreya"/>
          <w:color w:val="000000"/>
          <w:sz w:val="18"/>
          <w:szCs w:val="18"/>
        </w:rPr>
        <w:t xml:space="preserve"> 127-140. </w:t>
      </w:r>
      <w:hyperlink r:id="rId52" w:history="1">
        <w:r w:rsidR="007773C2" w:rsidRPr="009F0DEE">
          <w:rPr>
            <w:rStyle w:val="Hyperlink"/>
            <w:rFonts w:ascii="Aptos Narrow" w:eastAsia="Alegreya" w:hAnsi="Aptos Narrow" w:cs="Alegreya"/>
            <w:sz w:val="18"/>
            <w:szCs w:val="18"/>
          </w:rPr>
          <w:t>https://doi.org/10.1007/s10826-013-9820-4</w:t>
        </w:r>
      </w:hyperlink>
      <w:r w:rsidRPr="009F0DEE">
        <w:rPr>
          <w:rFonts w:ascii="Aptos Narrow" w:eastAsia="Alegreya" w:hAnsi="Aptos Narrow" w:cs="Alegreya"/>
          <w:color w:val="000000"/>
          <w:sz w:val="18"/>
          <w:szCs w:val="18"/>
        </w:rPr>
        <w:t xml:space="preserve"> </w:t>
      </w:r>
    </w:p>
    <w:p w14:paraId="2BA71B65" w14:textId="77777777" w:rsidR="007773C2" w:rsidRPr="009F0DEE" w:rsidRDefault="00B83410"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Holt-Lunstad, J., Smith, T. B., Layton, J. B. (2010). Social relationships and mortality risk: A meta-analytic review. </w:t>
      </w:r>
      <w:r w:rsidRPr="009F0DEE">
        <w:rPr>
          <w:rFonts w:ascii="Aptos Narrow" w:eastAsia="Alegreya" w:hAnsi="Aptos Narrow" w:cs="Alegreya"/>
          <w:i/>
          <w:sz w:val="18"/>
          <w:szCs w:val="18"/>
        </w:rPr>
        <w:t>PLOS Medicine, 7</w:t>
      </w:r>
      <w:r w:rsidRPr="009F0DEE">
        <w:rPr>
          <w:rFonts w:ascii="Aptos Narrow" w:eastAsia="Alegreya" w:hAnsi="Aptos Narrow" w:cs="Alegreya"/>
          <w:sz w:val="18"/>
          <w:szCs w:val="18"/>
        </w:rPr>
        <w:t xml:space="preserve">(7). </w:t>
      </w:r>
    </w:p>
    <w:p w14:paraId="000000EB" w14:textId="07BC5556" w:rsidR="00AD7388" w:rsidRPr="009F0DEE" w:rsidRDefault="007773C2" w:rsidP="007773C2">
      <w:pPr>
        <w:shd w:val="clear" w:color="auto" w:fill="FFFFFF"/>
        <w:spacing w:after="0" w:line="240" w:lineRule="auto"/>
        <w:ind w:firstLine="720"/>
        <w:rPr>
          <w:rFonts w:ascii="Aptos Narrow" w:eastAsia="Alegreya" w:hAnsi="Aptos Narrow" w:cs="Alegreya"/>
          <w:sz w:val="18"/>
          <w:szCs w:val="18"/>
        </w:rPr>
      </w:pPr>
      <w:hyperlink r:id="rId53" w:history="1">
        <w:r w:rsidRPr="009F0DEE">
          <w:rPr>
            <w:rStyle w:val="Hyperlink"/>
            <w:rFonts w:ascii="Aptos Narrow" w:eastAsia="Alegreya" w:hAnsi="Aptos Narrow" w:cs="Alegreya"/>
            <w:sz w:val="18"/>
            <w:szCs w:val="18"/>
          </w:rPr>
          <w:t>https://doi.org/10.1371/journal.pmed.1000316</w:t>
        </w:r>
      </w:hyperlink>
      <w:r w:rsidRPr="009F0DEE">
        <w:rPr>
          <w:rFonts w:ascii="Aptos Narrow" w:eastAsia="Alegreya" w:hAnsi="Aptos Narrow" w:cs="Alegreya"/>
          <w:sz w:val="18"/>
          <w:szCs w:val="18"/>
        </w:rPr>
        <w:t xml:space="preserve"> </w:t>
      </w:r>
    </w:p>
    <w:p w14:paraId="40EBBCDE" w14:textId="4C28609B" w:rsidR="00303F3D" w:rsidRPr="009F0DEE" w:rsidRDefault="00303F3D"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Independent Care Review. (2020). </w:t>
      </w:r>
      <w:r w:rsidRPr="009F0DEE">
        <w:rPr>
          <w:rFonts w:ascii="Aptos Narrow" w:eastAsia="Alegreya" w:hAnsi="Aptos Narrow" w:cs="Alegreya"/>
          <w:i/>
          <w:iCs/>
          <w:color w:val="000000"/>
          <w:sz w:val="18"/>
          <w:szCs w:val="18"/>
        </w:rPr>
        <w:t>The Promise</w:t>
      </w:r>
      <w:r w:rsidRPr="009F0DEE">
        <w:rPr>
          <w:rFonts w:ascii="Aptos Narrow" w:eastAsia="Alegreya" w:hAnsi="Aptos Narrow" w:cs="Alegreya"/>
          <w:color w:val="000000"/>
          <w:sz w:val="18"/>
          <w:szCs w:val="18"/>
        </w:rPr>
        <w:t xml:space="preserve">. Retrieved from </w:t>
      </w:r>
      <w:hyperlink r:id="rId54" w:history="1">
        <w:r w:rsidRPr="009F0DEE">
          <w:rPr>
            <w:rStyle w:val="Hyperlink"/>
            <w:rFonts w:ascii="Aptos Narrow" w:eastAsia="Alegreya" w:hAnsi="Aptos Narrow" w:cs="Alegreya"/>
            <w:sz w:val="18"/>
            <w:szCs w:val="18"/>
          </w:rPr>
          <w:t>https://www.carereview.scot/wp-content/uploads/2020/02/The-Promise.pdf</w:t>
        </w:r>
      </w:hyperlink>
      <w:r w:rsidRPr="009F0DEE">
        <w:rPr>
          <w:rFonts w:ascii="Aptos Narrow" w:eastAsia="Alegreya" w:hAnsi="Aptos Narrow" w:cs="Alegreya"/>
          <w:color w:val="000000"/>
          <w:sz w:val="18"/>
          <w:szCs w:val="18"/>
        </w:rPr>
        <w:t xml:space="preserve"> </w:t>
      </w:r>
    </w:p>
    <w:p w14:paraId="1139AD24" w14:textId="3191C97E"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Irvine, S. &amp; Emond, R. (2023). “They feel like another child has their back”: An exploration of peer support between looked after children in </w:t>
      </w:r>
    </w:p>
    <w:p w14:paraId="000000EE" w14:textId="34813883"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Scotland.” </w:t>
      </w:r>
      <w:r w:rsidRPr="009F0DEE">
        <w:rPr>
          <w:rFonts w:ascii="Aptos Narrow" w:eastAsia="Alegreya" w:hAnsi="Aptos Narrow" w:cs="Alegreya"/>
          <w:i/>
          <w:color w:val="000000"/>
          <w:sz w:val="18"/>
          <w:szCs w:val="18"/>
        </w:rPr>
        <w:t xml:space="preserve">Child and Family Social Work, </w:t>
      </w:r>
      <w:r w:rsidR="000D59E7" w:rsidRPr="009F0DEE">
        <w:rPr>
          <w:rFonts w:ascii="Aptos Narrow" w:eastAsia="Alegreya" w:hAnsi="Aptos Narrow" w:cs="Alegreya"/>
          <w:color w:val="000000"/>
          <w:sz w:val="18"/>
          <w:szCs w:val="18"/>
        </w:rPr>
        <w:t>30, 178-188</w:t>
      </w:r>
      <w:r w:rsidR="007773C2" w:rsidRPr="009F0DEE">
        <w:rPr>
          <w:rFonts w:ascii="Aptos Narrow" w:eastAsia="Alegreya" w:hAnsi="Aptos Narrow" w:cs="Alegreya"/>
          <w:color w:val="000000"/>
          <w:sz w:val="18"/>
          <w:szCs w:val="18"/>
        </w:rPr>
        <w:t xml:space="preserve">. </w:t>
      </w:r>
      <w:hyperlink r:id="rId55" w:history="1">
        <w:r w:rsidR="007773C2" w:rsidRPr="009F0DEE">
          <w:rPr>
            <w:rStyle w:val="Hyperlink"/>
            <w:rFonts w:ascii="Aptos Narrow" w:eastAsia="Alegreya" w:hAnsi="Aptos Narrow" w:cs="Alegreya"/>
            <w:sz w:val="18"/>
            <w:szCs w:val="18"/>
          </w:rPr>
          <w:t>https://doi.org/10.1111/cfs.13084</w:t>
        </w:r>
      </w:hyperlink>
      <w:r w:rsidRPr="009F0DEE">
        <w:rPr>
          <w:rFonts w:ascii="Aptos Narrow" w:eastAsia="Alegreya" w:hAnsi="Aptos Narrow" w:cs="Alegreya"/>
          <w:color w:val="000000"/>
          <w:sz w:val="18"/>
          <w:szCs w:val="18"/>
        </w:rPr>
        <w:t xml:space="preserve"> </w:t>
      </w:r>
    </w:p>
    <w:p w14:paraId="6C1E8C10" w14:textId="77777777" w:rsidR="00573CDD" w:rsidRPr="009F0DEE" w:rsidRDefault="00573CDD">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Knoester, C. (2006). Parenting practices and adolescents’ friendship networks. </w:t>
      </w:r>
      <w:r w:rsidRPr="009F0DEE">
        <w:rPr>
          <w:rFonts w:ascii="Aptos Narrow" w:eastAsia="Alegreya" w:hAnsi="Aptos Narrow" w:cs="Alegreya"/>
          <w:i/>
          <w:iCs/>
          <w:sz w:val="18"/>
          <w:szCs w:val="18"/>
        </w:rPr>
        <w:t>Journal of Marriage and Family, 68,</w:t>
      </w:r>
      <w:r w:rsidRPr="009F0DEE">
        <w:rPr>
          <w:rFonts w:ascii="Aptos Narrow" w:eastAsia="Alegreya" w:hAnsi="Aptos Narrow" w:cs="Alegreya"/>
          <w:sz w:val="18"/>
          <w:szCs w:val="18"/>
        </w:rPr>
        <w:t xml:space="preserve"> 1247-1260. </w:t>
      </w:r>
    </w:p>
    <w:p w14:paraId="534FE2A5" w14:textId="3E4F533C" w:rsidR="00573CDD" w:rsidRPr="009F0DEE" w:rsidRDefault="00F47594" w:rsidP="00573CDD">
      <w:pPr>
        <w:shd w:val="clear" w:color="auto" w:fill="FFFFFF"/>
        <w:spacing w:after="0" w:line="240" w:lineRule="auto"/>
        <w:ind w:firstLine="720"/>
        <w:rPr>
          <w:rFonts w:ascii="Aptos Narrow" w:eastAsia="Alegreya" w:hAnsi="Aptos Narrow" w:cs="Alegreya"/>
          <w:sz w:val="18"/>
          <w:szCs w:val="18"/>
        </w:rPr>
      </w:pPr>
      <w:hyperlink r:id="rId56" w:history="1">
        <w:r w:rsidRPr="009F0DEE">
          <w:rPr>
            <w:rStyle w:val="Hyperlink"/>
            <w:rFonts w:ascii="Aptos Narrow" w:eastAsia="Alegreya" w:hAnsi="Aptos Narrow" w:cs="Alegreya"/>
            <w:sz w:val="18"/>
            <w:szCs w:val="18"/>
          </w:rPr>
          <w:t>https://doi.org/10.1111/j.1741-3737.2006.00326.x</w:t>
        </w:r>
      </w:hyperlink>
      <w:r w:rsidR="00573CDD" w:rsidRPr="009F0DEE">
        <w:rPr>
          <w:rFonts w:ascii="Aptos Narrow" w:eastAsia="Alegreya" w:hAnsi="Aptos Narrow" w:cs="Alegreya"/>
          <w:sz w:val="18"/>
          <w:szCs w:val="18"/>
        </w:rPr>
        <w:t xml:space="preserve"> </w:t>
      </w:r>
    </w:p>
    <w:p w14:paraId="000000EF" w14:textId="0F588E18"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Kohlberg, L. (1968). The child as a moral philosopher. </w:t>
      </w:r>
      <w:r w:rsidRPr="009F0DEE">
        <w:rPr>
          <w:rFonts w:ascii="Aptos Narrow" w:eastAsia="Alegreya" w:hAnsi="Aptos Narrow" w:cs="Alegreya"/>
          <w:i/>
          <w:sz w:val="18"/>
          <w:szCs w:val="18"/>
        </w:rPr>
        <w:t xml:space="preserve">Psychology Today, </w:t>
      </w:r>
      <w:r w:rsidRPr="009F0DEE">
        <w:rPr>
          <w:rFonts w:ascii="Aptos Narrow" w:eastAsia="Alegreya" w:hAnsi="Aptos Narrow" w:cs="Alegreya"/>
          <w:sz w:val="18"/>
          <w:szCs w:val="18"/>
        </w:rPr>
        <w:t xml:space="preserve">25-30. </w:t>
      </w:r>
    </w:p>
    <w:p w14:paraId="587ED280"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Latimer, K., Elias Adams, C., &amp; Firmin, C. (2020).</w:t>
      </w:r>
      <w:r w:rsidRPr="009F0DEE">
        <w:rPr>
          <w:rFonts w:ascii="Aptos Narrow" w:eastAsia="Alegreya" w:hAnsi="Aptos Narrow" w:cs="Alegreya"/>
          <w:i/>
          <w:color w:val="000000"/>
          <w:sz w:val="18"/>
          <w:szCs w:val="18"/>
        </w:rPr>
        <w:t xml:space="preserve"> Opportunities for peer safeguarding interventions: A briefing following fieldwork with Safer London</w:t>
      </w:r>
      <w:r w:rsidRPr="009F0DEE">
        <w:rPr>
          <w:rFonts w:ascii="Aptos Narrow" w:eastAsia="Alegreya" w:hAnsi="Aptos Narrow" w:cs="Alegreya"/>
          <w:color w:val="000000"/>
          <w:sz w:val="18"/>
          <w:szCs w:val="18"/>
        </w:rPr>
        <w:t xml:space="preserve">. </w:t>
      </w:r>
    </w:p>
    <w:p w14:paraId="000000F2" w14:textId="6E442E14" w:rsidR="00AD7388" w:rsidRPr="009F0DEE" w:rsidRDefault="00B83410" w:rsidP="007773C2">
      <w:pPr>
        <w:shd w:val="clear" w:color="auto" w:fill="FFFFFF"/>
        <w:spacing w:after="0" w:line="240" w:lineRule="auto"/>
        <w:ind w:left="720"/>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Safer London. </w:t>
      </w:r>
      <w:hyperlink r:id="rId57" w:history="1">
        <w:r w:rsidR="007773C2" w:rsidRPr="009F0DEE">
          <w:rPr>
            <w:rStyle w:val="Hyperlink"/>
            <w:rFonts w:ascii="Aptos Narrow" w:eastAsia="Alegreya" w:hAnsi="Aptos Narrow" w:cs="Alegreya"/>
            <w:sz w:val="18"/>
            <w:szCs w:val="18"/>
          </w:rPr>
          <w:t>https://saferlondon.org.uk/storage/pdfs/Latimer-and-Elias-Adams-with-Firmin-2020-Opportunities-for-peer-safeguarding-interventions.pdf</w:t>
        </w:r>
      </w:hyperlink>
      <w:r w:rsidRPr="009F0DEE">
        <w:rPr>
          <w:rFonts w:ascii="Aptos Narrow" w:eastAsia="Alegreya" w:hAnsi="Aptos Narrow" w:cs="Alegreya"/>
          <w:color w:val="000000"/>
          <w:sz w:val="18"/>
          <w:szCs w:val="18"/>
        </w:rPr>
        <w:t> </w:t>
      </w:r>
    </w:p>
    <w:p w14:paraId="3F437E8C" w14:textId="77777777" w:rsidR="007773C2" w:rsidRPr="009F0DEE" w:rsidRDefault="00B83410"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Layous, K., Nelson, S. K., Oberle, E., Schonert-Reichl, K. A., Lyubomirsky, S. (2012). Kindness counts: Prompting prosocial behavior in</w:t>
      </w:r>
      <w:r w:rsidR="007773C2" w:rsidRPr="009F0DEE">
        <w:rPr>
          <w:rFonts w:ascii="Aptos Narrow" w:eastAsia="Alegreya" w:hAnsi="Aptos Narrow" w:cs="Alegreya"/>
          <w:sz w:val="18"/>
          <w:szCs w:val="18"/>
        </w:rPr>
        <w:t xml:space="preserve"> </w:t>
      </w:r>
    </w:p>
    <w:p w14:paraId="000000F4" w14:textId="0F9AC350"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preadolescents boosts peer acceptance and well-being. </w:t>
      </w:r>
      <w:r w:rsidRPr="009F0DEE">
        <w:rPr>
          <w:rFonts w:ascii="Aptos Narrow" w:eastAsia="Alegreya" w:hAnsi="Aptos Narrow" w:cs="Alegreya"/>
          <w:i/>
          <w:sz w:val="18"/>
          <w:szCs w:val="18"/>
        </w:rPr>
        <w:t>PLOS One, 7</w:t>
      </w:r>
      <w:r w:rsidRPr="009F0DEE">
        <w:rPr>
          <w:rFonts w:ascii="Aptos Narrow" w:eastAsia="Alegreya" w:hAnsi="Aptos Narrow" w:cs="Alegreya"/>
          <w:sz w:val="18"/>
          <w:szCs w:val="18"/>
        </w:rPr>
        <w:t xml:space="preserve">(12). </w:t>
      </w:r>
      <w:hyperlink r:id="rId58">
        <w:r w:rsidR="00AD7388" w:rsidRPr="009F0DEE">
          <w:rPr>
            <w:rFonts w:ascii="Aptos Narrow" w:eastAsia="Alegreya" w:hAnsi="Aptos Narrow" w:cs="Alegreya"/>
            <w:color w:val="1155CC"/>
            <w:sz w:val="18"/>
            <w:szCs w:val="18"/>
            <w:u w:val="single"/>
          </w:rPr>
          <w:t>https://doi.org/10.1371/journal.pone.0051380</w:t>
        </w:r>
      </w:hyperlink>
      <w:r w:rsidRPr="009F0DEE">
        <w:rPr>
          <w:rFonts w:ascii="Aptos Narrow" w:eastAsia="Alegreya" w:hAnsi="Aptos Narrow" w:cs="Alegreya"/>
          <w:sz w:val="18"/>
          <w:szCs w:val="18"/>
        </w:rPr>
        <w:t xml:space="preserve"> </w:t>
      </w:r>
    </w:p>
    <w:p w14:paraId="7CD98814"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lang w:val="pl-PL"/>
        </w:rPr>
        <w:t xml:space="preserve">Li, D., Li, W., Zhu, X. (2023). </w:t>
      </w:r>
      <w:r w:rsidRPr="009F0DEE">
        <w:rPr>
          <w:rFonts w:ascii="Aptos Narrow" w:eastAsia="Alegreya" w:hAnsi="Aptos Narrow" w:cs="Alegreya"/>
          <w:color w:val="000000"/>
          <w:sz w:val="18"/>
          <w:szCs w:val="18"/>
        </w:rPr>
        <w:t xml:space="preserve">Parenting style and children emotion management skills among Chinese children aged 3-6: The chain mediation effect </w:t>
      </w:r>
    </w:p>
    <w:p w14:paraId="000000F7" w14:textId="775B18F6"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color w:val="000000"/>
          <w:sz w:val="18"/>
          <w:szCs w:val="18"/>
        </w:rPr>
        <w:t xml:space="preserve">of self-control and peer interactions. </w:t>
      </w:r>
      <w:r w:rsidRPr="009F0DEE">
        <w:rPr>
          <w:rFonts w:ascii="Aptos Narrow" w:eastAsia="Alegreya" w:hAnsi="Aptos Narrow" w:cs="Alegreya"/>
          <w:i/>
          <w:color w:val="000000"/>
          <w:sz w:val="18"/>
          <w:szCs w:val="18"/>
        </w:rPr>
        <w:t>Frontiers in Psychology, 14</w:t>
      </w:r>
      <w:r w:rsidRPr="009F0DEE">
        <w:rPr>
          <w:rFonts w:ascii="Aptos Narrow" w:eastAsia="Alegreya" w:hAnsi="Aptos Narrow" w:cs="Alegreya"/>
          <w:color w:val="000000"/>
          <w:sz w:val="18"/>
          <w:szCs w:val="18"/>
        </w:rPr>
        <w:t xml:space="preserve">. </w:t>
      </w:r>
      <w:hyperlink r:id="rId59">
        <w:r w:rsidR="00AD7388" w:rsidRPr="009F0DEE">
          <w:rPr>
            <w:rFonts w:ascii="Aptos Narrow" w:eastAsia="Alegreya" w:hAnsi="Aptos Narrow" w:cs="Alegreya"/>
            <w:color w:val="467886"/>
            <w:sz w:val="18"/>
            <w:szCs w:val="18"/>
            <w:u w:val="single"/>
          </w:rPr>
          <w:t>https://doi.org/10.3389/fpsyg.2023.1231920</w:t>
        </w:r>
      </w:hyperlink>
      <w:r w:rsidRPr="009F0DEE">
        <w:rPr>
          <w:rFonts w:ascii="Aptos Narrow" w:eastAsia="Alegreya" w:hAnsi="Aptos Narrow" w:cs="Alegreya"/>
          <w:color w:val="000000"/>
          <w:sz w:val="18"/>
          <w:szCs w:val="18"/>
        </w:rPr>
        <w:t> </w:t>
      </w:r>
    </w:p>
    <w:p w14:paraId="0CE07492" w14:textId="77777777" w:rsidR="007773C2" w:rsidRPr="009F0DEE" w:rsidRDefault="00B83410"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Li, J. &amp; Shum, K. K. (2025). Theory of mind, social skills, and friendship quality in adolescents and adults with and without autism spectrum disorder </w:t>
      </w:r>
    </w:p>
    <w:p w14:paraId="000000FA" w14:textId="7F3E1CB6"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through structural equation modeling. </w:t>
      </w:r>
      <w:r w:rsidRPr="009F0DEE">
        <w:rPr>
          <w:rFonts w:ascii="Aptos Narrow" w:eastAsia="Alegreya" w:hAnsi="Aptos Narrow" w:cs="Alegreya"/>
          <w:i/>
          <w:sz w:val="18"/>
          <w:szCs w:val="18"/>
        </w:rPr>
        <w:t xml:space="preserve">Journal of Autism and Developmental Disorders. </w:t>
      </w:r>
      <w:hyperlink r:id="rId60">
        <w:r w:rsidR="00AD7388" w:rsidRPr="009F0DEE">
          <w:rPr>
            <w:rFonts w:ascii="Aptos Narrow" w:eastAsia="Alegreya" w:hAnsi="Aptos Narrow" w:cs="Alegreya"/>
            <w:color w:val="1155CC"/>
            <w:sz w:val="18"/>
            <w:szCs w:val="18"/>
            <w:u w:val="single"/>
          </w:rPr>
          <w:t>https://doi.org/10.1007/s10803-025-07039-9</w:t>
        </w:r>
      </w:hyperlink>
      <w:r w:rsidRPr="009F0DEE">
        <w:rPr>
          <w:rFonts w:ascii="Aptos Narrow" w:eastAsia="Alegreya" w:hAnsi="Aptos Narrow" w:cs="Alegreya"/>
          <w:sz w:val="18"/>
          <w:szCs w:val="18"/>
        </w:rPr>
        <w:t xml:space="preserve"> </w:t>
      </w:r>
    </w:p>
    <w:p w14:paraId="5EF62EFD"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Lloyd, J., Hickle, K., Owens, R., Peace, D. (2023). Relationship-based practice and contextual safeguarding: Approaches to working with young </w:t>
      </w:r>
    </w:p>
    <w:p w14:paraId="000000FD" w14:textId="52AD572D"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people experiencing extra-familial risk and harm.</w:t>
      </w:r>
      <w:r w:rsidRPr="009F0DEE">
        <w:rPr>
          <w:rFonts w:ascii="Aptos Narrow" w:eastAsia="Alegreya" w:hAnsi="Aptos Narrow" w:cs="Alegreya"/>
          <w:i/>
          <w:color w:val="000000"/>
          <w:sz w:val="18"/>
          <w:szCs w:val="18"/>
        </w:rPr>
        <w:t xml:space="preserve"> Children &amp; Society,</w:t>
      </w:r>
      <w:r w:rsidRPr="009F0DEE">
        <w:rPr>
          <w:rFonts w:ascii="Aptos Narrow" w:eastAsia="Alegreya" w:hAnsi="Aptos Narrow" w:cs="Alegreya"/>
          <w:color w:val="000000"/>
          <w:sz w:val="18"/>
          <w:szCs w:val="18"/>
        </w:rPr>
        <w:t xml:space="preserve"> </w:t>
      </w:r>
      <w:r w:rsidRPr="009F0DEE">
        <w:rPr>
          <w:rFonts w:ascii="Aptos Narrow" w:eastAsia="Alegreya" w:hAnsi="Aptos Narrow" w:cs="Alegreya"/>
          <w:i/>
          <w:color w:val="000000"/>
          <w:sz w:val="18"/>
          <w:szCs w:val="18"/>
        </w:rPr>
        <w:t>38</w:t>
      </w:r>
      <w:r w:rsidRPr="009F0DEE">
        <w:rPr>
          <w:rFonts w:ascii="Aptos Narrow" w:eastAsia="Alegreya" w:hAnsi="Aptos Narrow" w:cs="Alegreya"/>
          <w:color w:val="000000"/>
          <w:sz w:val="18"/>
          <w:szCs w:val="18"/>
        </w:rPr>
        <w:t xml:space="preserve">, 1113-1129. </w:t>
      </w:r>
      <w:hyperlink r:id="rId61">
        <w:r w:rsidR="00AD7388" w:rsidRPr="009F0DEE">
          <w:rPr>
            <w:rFonts w:ascii="Aptos Narrow" w:eastAsia="Alegreya" w:hAnsi="Aptos Narrow" w:cs="Alegreya"/>
            <w:color w:val="467886"/>
            <w:sz w:val="18"/>
            <w:szCs w:val="18"/>
            <w:u w:val="single"/>
          </w:rPr>
          <w:t>https://doi.org/10.1111/chso.12787</w:t>
        </w:r>
      </w:hyperlink>
      <w:r w:rsidRPr="009F0DEE">
        <w:rPr>
          <w:rFonts w:ascii="Aptos Narrow" w:eastAsia="Alegreya" w:hAnsi="Aptos Narrow" w:cs="Alegreya"/>
          <w:color w:val="000000"/>
          <w:sz w:val="18"/>
          <w:szCs w:val="18"/>
        </w:rPr>
        <w:t xml:space="preserve"> </w:t>
      </w:r>
    </w:p>
    <w:p w14:paraId="40BD4C39" w14:textId="77777777" w:rsidR="007773C2" w:rsidRPr="009F0DEE" w:rsidRDefault="00B83410" w:rsidP="007773C2">
      <w:pPr>
        <w:shd w:val="clear" w:color="auto" w:fill="FFFFFF"/>
        <w:spacing w:after="0" w:line="240" w:lineRule="auto"/>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 xml:space="preserve">Maccoby, E. E. &amp; Martin, J. A. (1983). Socialization in the context of the family: Parent-child interaction. In P. H. Mussen (Ed.), </w:t>
      </w:r>
      <w:r w:rsidRPr="009F0DEE">
        <w:rPr>
          <w:rFonts w:ascii="Aptos Narrow" w:eastAsia="Alegreya" w:hAnsi="Aptos Narrow" w:cs="Alegreya"/>
          <w:i/>
          <w:color w:val="000000"/>
          <w:sz w:val="18"/>
          <w:szCs w:val="18"/>
        </w:rPr>
        <w:t xml:space="preserve">Handbook of child </w:t>
      </w:r>
    </w:p>
    <w:p w14:paraId="00000100" w14:textId="40D8302F"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i/>
          <w:color w:val="000000"/>
          <w:sz w:val="18"/>
          <w:szCs w:val="18"/>
        </w:rPr>
        <w:t xml:space="preserve">psychology: Socialization, personality, and social development, </w:t>
      </w:r>
      <w:r w:rsidRPr="009F0DEE">
        <w:rPr>
          <w:rFonts w:ascii="Aptos Narrow" w:eastAsia="Alegreya" w:hAnsi="Aptos Narrow" w:cs="Alegreya"/>
          <w:color w:val="000000"/>
          <w:sz w:val="18"/>
          <w:szCs w:val="18"/>
        </w:rPr>
        <w:t>(4</w:t>
      </w:r>
      <w:r w:rsidRPr="009F0DEE">
        <w:rPr>
          <w:rFonts w:ascii="Aptos Narrow" w:eastAsia="Alegreya" w:hAnsi="Aptos Narrow" w:cs="Alegreya"/>
          <w:color w:val="000000"/>
          <w:sz w:val="18"/>
          <w:szCs w:val="18"/>
          <w:vertAlign w:val="superscript"/>
        </w:rPr>
        <w:t>th</w:t>
      </w:r>
      <w:r w:rsidRPr="009F0DEE">
        <w:rPr>
          <w:rFonts w:ascii="Aptos Narrow" w:eastAsia="Alegreya" w:hAnsi="Aptos Narrow" w:cs="Alegreya"/>
          <w:color w:val="000000"/>
          <w:sz w:val="18"/>
          <w:szCs w:val="18"/>
        </w:rPr>
        <w:t xml:space="preserve"> ed.). Wiley. </w:t>
      </w:r>
    </w:p>
    <w:p w14:paraId="33AF1FAD"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Malti, T., Galarneau, E., Peplak, J. (2021). Moral development in adolescence. </w:t>
      </w:r>
      <w:r w:rsidRPr="009F0DEE">
        <w:rPr>
          <w:rFonts w:ascii="Aptos Narrow" w:eastAsia="Alegreya" w:hAnsi="Aptos Narrow" w:cs="Alegreya"/>
          <w:i/>
          <w:color w:val="000000"/>
          <w:sz w:val="18"/>
          <w:szCs w:val="18"/>
        </w:rPr>
        <w:t>Journal of Research on Adolescence, 41</w:t>
      </w:r>
      <w:r w:rsidRPr="009F0DEE">
        <w:rPr>
          <w:rFonts w:ascii="Aptos Narrow" w:eastAsia="Alegreya" w:hAnsi="Aptos Narrow" w:cs="Alegreya"/>
          <w:color w:val="000000"/>
          <w:sz w:val="18"/>
          <w:szCs w:val="18"/>
        </w:rPr>
        <w:t>, 1097-1113.</w:t>
      </w:r>
    </w:p>
    <w:p w14:paraId="00000102" w14:textId="27B3B18C" w:rsidR="00AD7388" w:rsidRPr="009F0DEE" w:rsidRDefault="00B83410" w:rsidP="007773C2">
      <w:pPr>
        <w:shd w:val="clear" w:color="auto" w:fill="FFFFFF"/>
        <w:spacing w:after="0" w:line="240" w:lineRule="auto"/>
        <w:ind w:firstLine="720"/>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 xml:space="preserve"> </w:t>
      </w:r>
      <w:hyperlink r:id="rId62" w:history="1">
        <w:r w:rsidR="007773C2" w:rsidRPr="009F0DEE">
          <w:rPr>
            <w:rStyle w:val="Hyperlink"/>
            <w:rFonts w:ascii="Aptos Narrow" w:eastAsia="Alegreya" w:hAnsi="Aptos Narrow" w:cs="Alegreya"/>
            <w:sz w:val="18"/>
            <w:szCs w:val="18"/>
          </w:rPr>
          <w:t>https://doi.org/10.1111/jora.12639</w:t>
        </w:r>
      </w:hyperlink>
      <w:r w:rsidRPr="009F0DEE">
        <w:rPr>
          <w:rFonts w:ascii="Aptos Narrow" w:eastAsia="Alegreya" w:hAnsi="Aptos Narrow" w:cs="Alegreya"/>
          <w:color w:val="000000"/>
          <w:sz w:val="18"/>
          <w:szCs w:val="18"/>
        </w:rPr>
        <w:t xml:space="preserve"> </w:t>
      </w:r>
    </w:p>
    <w:p w14:paraId="7C69469E"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Marcia, J. E. (1966). Development and validation of ego-identity status. </w:t>
      </w:r>
      <w:r w:rsidRPr="009F0DEE">
        <w:rPr>
          <w:rFonts w:ascii="Aptos Narrow" w:eastAsia="Alegreya" w:hAnsi="Aptos Narrow" w:cs="Alegreya"/>
          <w:i/>
          <w:color w:val="000000"/>
          <w:sz w:val="18"/>
          <w:szCs w:val="18"/>
        </w:rPr>
        <w:t>Journal of Personality and Social Psychology, 3</w:t>
      </w:r>
      <w:r w:rsidRPr="009F0DEE">
        <w:rPr>
          <w:rFonts w:ascii="Aptos Narrow" w:eastAsia="Alegreya" w:hAnsi="Aptos Narrow" w:cs="Alegreya"/>
          <w:color w:val="000000"/>
          <w:sz w:val="18"/>
          <w:szCs w:val="18"/>
        </w:rPr>
        <w:t xml:space="preserve">(5), 551-558. </w:t>
      </w:r>
    </w:p>
    <w:p w14:paraId="00000104" w14:textId="10D9C63F" w:rsidR="00AD7388" w:rsidRPr="009F0DEE" w:rsidRDefault="007773C2" w:rsidP="007773C2">
      <w:pPr>
        <w:shd w:val="clear" w:color="auto" w:fill="FFFFFF"/>
        <w:spacing w:after="0" w:line="240" w:lineRule="auto"/>
        <w:ind w:firstLine="720"/>
        <w:rPr>
          <w:rFonts w:ascii="Aptos Narrow" w:eastAsia="Alegreya" w:hAnsi="Aptos Narrow" w:cs="Alegreya"/>
          <w:i/>
          <w:color w:val="000000"/>
          <w:sz w:val="18"/>
          <w:szCs w:val="18"/>
        </w:rPr>
      </w:pPr>
      <w:hyperlink r:id="rId63" w:history="1">
        <w:r w:rsidRPr="009F0DEE">
          <w:rPr>
            <w:rStyle w:val="Hyperlink"/>
            <w:rFonts w:ascii="Aptos Narrow" w:eastAsia="Alegreya" w:hAnsi="Aptos Narrow" w:cs="Alegreya"/>
            <w:sz w:val="18"/>
            <w:szCs w:val="18"/>
          </w:rPr>
          <w:t>https://doi.org/10.1037/h0023281</w:t>
        </w:r>
      </w:hyperlink>
      <w:r w:rsidRPr="009F0DEE">
        <w:rPr>
          <w:rFonts w:ascii="Aptos Narrow" w:eastAsia="Alegreya" w:hAnsi="Aptos Narrow" w:cs="Alegreya"/>
          <w:color w:val="000000"/>
          <w:sz w:val="18"/>
          <w:szCs w:val="18"/>
        </w:rPr>
        <w:t xml:space="preserve"> </w:t>
      </w:r>
    </w:p>
    <w:p w14:paraId="00000105" w14:textId="77777777"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lastRenderedPageBreak/>
        <w:t xml:space="preserve">Matiz, A., D’Antoni, F., Pascut, S., Ciacchini, R., Conversano, C., Gemignani, A., Crescentini, C. (2024). Loneliness and problematic internet </w:t>
      </w:r>
    </w:p>
    <w:p w14:paraId="00000106" w14:textId="77777777" w:rsidR="00AD7388" w:rsidRPr="009F0DEE" w:rsidRDefault="00B83410">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use in adolescents: The mediating role of dissociation. </w:t>
      </w:r>
      <w:r w:rsidRPr="009F0DEE">
        <w:rPr>
          <w:rFonts w:ascii="Aptos Narrow" w:eastAsia="Alegreya" w:hAnsi="Aptos Narrow" w:cs="Alegreya"/>
          <w:i/>
          <w:sz w:val="18"/>
          <w:szCs w:val="18"/>
        </w:rPr>
        <w:t>Children, 11</w:t>
      </w:r>
      <w:r w:rsidRPr="009F0DEE">
        <w:rPr>
          <w:rFonts w:ascii="Aptos Narrow" w:eastAsia="Alegreya" w:hAnsi="Aptos Narrow" w:cs="Alegreya"/>
          <w:sz w:val="18"/>
          <w:szCs w:val="18"/>
        </w:rPr>
        <w:t xml:space="preserve">(11). </w:t>
      </w:r>
      <w:hyperlink r:id="rId64">
        <w:r w:rsidR="00AD7388" w:rsidRPr="009F0DEE">
          <w:rPr>
            <w:rFonts w:ascii="Aptos Narrow" w:eastAsia="Alegreya" w:hAnsi="Aptos Narrow" w:cs="Alegreya"/>
            <w:color w:val="1155CC"/>
            <w:sz w:val="18"/>
            <w:szCs w:val="18"/>
            <w:u w:val="single"/>
          </w:rPr>
          <w:t>https://doi.org/10.3390/children11111294</w:t>
        </w:r>
      </w:hyperlink>
      <w:r w:rsidRPr="009F0DEE">
        <w:rPr>
          <w:rFonts w:ascii="Aptos Narrow" w:eastAsia="Alegreya" w:hAnsi="Aptos Narrow" w:cs="Alegreya"/>
          <w:sz w:val="18"/>
          <w:szCs w:val="18"/>
        </w:rPr>
        <w:t xml:space="preserve"> </w:t>
      </w:r>
    </w:p>
    <w:p w14:paraId="1BF92413"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McMahon, C. &amp; Curtin, C. (2012). The social networks of young people in Ireland with experience of long-term foster care: Some lessons for policy </w:t>
      </w:r>
    </w:p>
    <w:p w14:paraId="4FB224D6" w14:textId="003C14DD" w:rsidR="007773C2"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and practice. </w:t>
      </w:r>
      <w:r w:rsidRPr="009F0DEE">
        <w:rPr>
          <w:rFonts w:ascii="Aptos Narrow" w:eastAsia="Alegreya" w:hAnsi="Aptos Narrow" w:cs="Alegreya"/>
          <w:i/>
          <w:color w:val="000000"/>
          <w:sz w:val="18"/>
          <w:szCs w:val="18"/>
        </w:rPr>
        <w:t>Child and Family Social Work, 18,</w:t>
      </w:r>
      <w:r w:rsidRPr="009F0DEE">
        <w:rPr>
          <w:rFonts w:ascii="Aptos Narrow" w:eastAsia="Alegreya" w:hAnsi="Aptos Narrow" w:cs="Alegreya"/>
          <w:color w:val="000000"/>
          <w:sz w:val="18"/>
          <w:szCs w:val="18"/>
        </w:rPr>
        <w:t xml:space="preserve"> 329-340. </w:t>
      </w:r>
    </w:p>
    <w:p w14:paraId="00000109" w14:textId="2670C7EA" w:rsidR="00AD7388" w:rsidRPr="009F0DEE" w:rsidRDefault="007773C2" w:rsidP="007773C2">
      <w:pPr>
        <w:shd w:val="clear" w:color="auto" w:fill="FFFFFF"/>
        <w:spacing w:after="0" w:line="240" w:lineRule="auto"/>
        <w:ind w:firstLine="720"/>
        <w:rPr>
          <w:rFonts w:ascii="Aptos Narrow" w:eastAsia="Alegreya" w:hAnsi="Aptos Narrow" w:cs="Alegreya"/>
          <w:color w:val="000000"/>
          <w:sz w:val="18"/>
          <w:szCs w:val="18"/>
        </w:rPr>
      </w:pPr>
      <w:hyperlink r:id="rId65" w:history="1">
        <w:r w:rsidRPr="009F0DEE">
          <w:rPr>
            <w:rStyle w:val="Hyperlink"/>
            <w:rFonts w:ascii="Aptos Narrow" w:eastAsia="Alegreya" w:hAnsi="Aptos Narrow" w:cs="Alegreya"/>
            <w:sz w:val="18"/>
            <w:szCs w:val="18"/>
          </w:rPr>
          <w:t>https://doi.org/10.1111/j.1365-2206.2012.00849.x</w:t>
        </w:r>
      </w:hyperlink>
      <w:r w:rsidRPr="009F0DEE">
        <w:rPr>
          <w:rFonts w:ascii="Aptos Narrow" w:eastAsia="Alegreya" w:hAnsi="Aptos Narrow" w:cs="Alegreya"/>
          <w:color w:val="000000"/>
          <w:sz w:val="18"/>
          <w:szCs w:val="18"/>
        </w:rPr>
        <w:t xml:space="preserve">  </w:t>
      </w:r>
    </w:p>
    <w:p w14:paraId="3720A262" w14:textId="77777777" w:rsidR="007773C2" w:rsidRPr="009F0DEE" w:rsidRDefault="00B83410"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Mendes, P., Purtell, J., Waugh, J. (2022). Advancing the social rights of care leavers: Towards a new community-based social network and peer </w:t>
      </w:r>
    </w:p>
    <w:p w14:paraId="0000010C" w14:textId="06DBBE4F"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support model for supporting young people transitioning from out-of-home care in times of crisis. </w:t>
      </w:r>
      <w:r w:rsidRPr="009F0DEE">
        <w:rPr>
          <w:rFonts w:ascii="Aptos Narrow" w:eastAsia="Alegreya" w:hAnsi="Aptos Narrow" w:cs="Alegreya"/>
          <w:i/>
          <w:sz w:val="18"/>
          <w:szCs w:val="18"/>
        </w:rPr>
        <w:t>New Community, 20</w:t>
      </w:r>
      <w:r w:rsidRPr="009F0DEE">
        <w:rPr>
          <w:rFonts w:ascii="Aptos Narrow" w:eastAsia="Alegreya" w:hAnsi="Aptos Narrow" w:cs="Alegreya"/>
          <w:sz w:val="18"/>
          <w:szCs w:val="18"/>
        </w:rPr>
        <w:t>(2), 58-62.</w:t>
      </w:r>
    </w:p>
    <w:p w14:paraId="1EF77A01"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Moutsiana, C., Garrett, N., Clarke, R. C., Lotto, R. B., Blakemore, S., Sharot, T. (2013). Human development of the ability to learn from bad news.</w:t>
      </w:r>
    </w:p>
    <w:p w14:paraId="0000010F" w14:textId="060C3FC7"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 </w:t>
      </w:r>
      <w:r w:rsidRPr="009F0DEE">
        <w:rPr>
          <w:rFonts w:ascii="Aptos Narrow" w:eastAsia="Alegreya" w:hAnsi="Aptos Narrow" w:cs="Alegreya"/>
          <w:i/>
          <w:color w:val="000000"/>
          <w:sz w:val="18"/>
          <w:szCs w:val="18"/>
        </w:rPr>
        <w:t>Proc. Natl. Acad. Sci. U.S.A., 110</w:t>
      </w:r>
      <w:r w:rsidRPr="009F0DEE">
        <w:rPr>
          <w:rFonts w:ascii="Aptos Narrow" w:eastAsia="Alegreya" w:hAnsi="Aptos Narrow" w:cs="Alegreya"/>
          <w:color w:val="000000"/>
          <w:sz w:val="18"/>
          <w:szCs w:val="18"/>
        </w:rPr>
        <w:t xml:space="preserve">(41). </w:t>
      </w:r>
      <w:hyperlink r:id="rId66" w:history="1">
        <w:r w:rsidR="007773C2" w:rsidRPr="009F0DEE">
          <w:rPr>
            <w:rStyle w:val="Hyperlink"/>
            <w:rFonts w:ascii="Aptos Narrow" w:eastAsia="Alegreya" w:hAnsi="Aptos Narrow" w:cs="Alegreya"/>
            <w:sz w:val="18"/>
            <w:szCs w:val="18"/>
          </w:rPr>
          <w:t>https://doi.org/10.1073/pnas.1305631110</w:t>
        </w:r>
      </w:hyperlink>
      <w:r w:rsidRPr="009F0DEE">
        <w:rPr>
          <w:rFonts w:ascii="Aptos Narrow" w:eastAsia="Alegreya" w:hAnsi="Aptos Narrow" w:cs="Alegreya"/>
          <w:color w:val="000000"/>
          <w:sz w:val="18"/>
          <w:szCs w:val="18"/>
        </w:rPr>
        <w:t xml:space="preserve"> </w:t>
      </w:r>
    </w:p>
    <w:p w14:paraId="3619F703" w14:textId="77777777" w:rsidR="007773C2" w:rsidRPr="009F0DEE" w:rsidRDefault="00B83410" w:rsidP="007773C2">
      <w:pPr>
        <w:shd w:val="clear" w:color="auto" w:fill="FFFFFF"/>
        <w:spacing w:after="0" w:line="240" w:lineRule="auto"/>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National Academies of Sciences, Engineering, and Medicine. 2020. </w:t>
      </w:r>
      <w:r w:rsidRPr="009F0DEE">
        <w:rPr>
          <w:rFonts w:ascii="Aptos Narrow" w:eastAsia="Alegreya" w:hAnsi="Aptos Narrow" w:cs="Alegreya"/>
          <w:i/>
          <w:color w:val="000000"/>
          <w:sz w:val="18"/>
          <w:szCs w:val="18"/>
        </w:rPr>
        <w:t xml:space="preserve">Promoting Positive Adolescent Health Behaviors and Outcomes: Thriving in the </w:t>
      </w:r>
    </w:p>
    <w:p w14:paraId="00000112" w14:textId="001EBBDE" w:rsidR="00AD7388" w:rsidRPr="009F0DEE" w:rsidRDefault="00B83410" w:rsidP="007773C2">
      <w:pPr>
        <w:shd w:val="clear" w:color="auto" w:fill="FFFFFF"/>
        <w:spacing w:after="0" w:line="240" w:lineRule="auto"/>
        <w:ind w:firstLine="720"/>
        <w:rPr>
          <w:rFonts w:ascii="Aptos Narrow" w:eastAsia="Alegreya" w:hAnsi="Aptos Narrow" w:cs="Alegreya"/>
          <w:i/>
          <w:color w:val="000000"/>
          <w:sz w:val="18"/>
          <w:szCs w:val="18"/>
        </w:rPr>
      </w:pPr>
      <w:r w:rsidRPr="009F0DEE">
        <w:rPr>
          <w:rFonts w:ascii="Aptos Narrow" w:eastAsia="Alegreya" w:hAnsi="Aptos Narrow" w:cs="Alegreya"/>
          <w:i/>
          <w:color w:val="000000"/>
          <w:sz w:val="18"/>
          <w:szCs w:val="18"/>
        </w:rPr>
        <w:t>21st Century</w:t>
      </w:r>
      <w:r w:rsidRPr="009F0DEE">
        <w:rPr>
          <w:rFonts w:ascii="Aptos Narrow" w:eastAsia="Alegreya" w:hAnsi="Aptos Narrow" w:cs="Alegreya"/>
          <w:color w:val="000000"/>
          <w:sz w:val="18"/>
          <w:szCs w:val="18"/>
        </w:rPr>
        <w:t>. Washington, DC: The National Academies</w:t>
      </w:r>
      <w:r w:rsidR="007773C2" w:rsidRPr="009F0DEE">
        <w:rPr>
          <w:rFonts w:ascii="Aptos Narrow" w:eastAsia="Alegreya" w:hAnsi="Aptos Narrow" w:cs="Alegreya"/>
          <w:i/>
          <w:color w:val="000000"/>
          <w:sz w:val="18"/>
          <w:szCs w:val="18"/>
        </w:rPr>
        <w:t xml:space="preserve"> </w:t>
      </w:r>
      <w:r w:rsidRPr="009F0DEE">
        <w:rPr>
          <w:rFonts w:ascii="Aptos Narrow" w:eastAsia="Alegreya" w:hAnsi="Aptos Narrow" w:cs="Alegreya"/>
          <w:color w:val="000000"/>
          <w:sz w:val="18"/>
          <w:szCs w:val="18"/>
        </w:rPr>
        <w:t xml:space="preserve">Press. </w:t>
      </w:r>
      <w:hyperlink r:id="rId67">
        <w:r w:rsidR="00AD7388" w:rsidRPr="009F0DEE">
          <w:rPr>
            <w:rFonts w:ascii="Aptos Narrow" w:eastAsia="Alegreya" w:hAnsi="Aptos Narrow" w:cs="Alegreya"/>
            <w:color w:val="467886"/>
            <w:sz w:val="18"/>
            <w:szCs w:val="18"/>
            <w:u w:val="single"/>
          </w:rPr>
          <w:t>https://doi.org/10.17226/25552</w:t>
        </w:r>
      </w:hyperlink>
      <w:r w:rsidRPr="009F0DEE">
        <w:rPr>
          <w:rFonts w:ascii="Aptos Narrow" w:eastAsia="Alegreya" w:hAnsi="Aptos Narrow" w:cs="Alegreya"/>
          <w:color w:val="000000"/>
          <w:sz w:val="18"/>
          <w:szCs w:val="18"/>
        </w:rPr>
        <w:t xml:space="preserve"> </w:t>
      </w:r>
    </w:p>
    <w:p w14:paraId="5DFA1161" w14:textId="1A0BDFD6" w:rsidR="007773C2" w:rsidRPr="009F0DEE" w:rsidRDefault="00B83410" w:rsidP="007773C2">
      <w:pPr>
        <w:shd w:val="clear" w:color="auto" w:fill="FFFFFF"/>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 xml:space="preserve">Orben, A., </w:t>
      </w:r>
      <w:r w:rsidR="00601E08" w:rsidRPr="009F0DEE">
        <w:rPr>
          <w:rFonts w:ascii="Aptos Narrow" w:eastAsia="Alegreya" w:hAnsi="Aptos Narrow" w:cs="Alegreya"/>
          <w:sz w:val="18"/>
          <w:szCs w:val="18"/>
        </w:rPr>
        <w:t>T</w:t>
      </w:r>
      <w:r w:rsidRPr="009F0DEE">
        <w:rPr>
          <w:rFonts w:ascii="Aptos Narrow" w:eastAsia="Alegreya" w:hAnsi="Aptos Narrow" w:cs="Alegreya"/>
          <w:sz w:val="18"/>
          <w:szCs w:val="18"/>
        </w:rPr>
        <w:t xml:space="preserve">omova, L., Blakemore, S. (2020). The effects of social deprivation on adolescent development and mental health. </w:t>
      </w:r>
      <w:r w:rsidRPr="009F0DEE">
        <w:rPr>
          <w:rFonts w:ascii="Aptos Narrow" w:eastAsia="Alegreya" w:hAnsi="Aptos Narrow" w:cs="Alegreya"/>
          <w:i/>
          <w:sz w:val="18"/>
          <w:szCs w:val="18"/>
        </w:rPr>
        <w:t xml:space="preserve">Lancet Child Adolesc </w:t>
      </w:r>
    </w:p>
    <w:p w14:paraId="00000114" w14:textId="52FD6434"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Health, 4</w:t>
      </w:r>
      <w:r w:rsidRPr="009F0DEE">
        <w:rPr>
          <w:rFonts w:ascii="Aptos Narrow" w:eastAsia="Alegreya" w:hAnsi="Aptos Narrow" w:cs="Alegreya"/>
          <w:sz w:val="18"/>
          <w:szCs w:val="18"/>
        </w:rPr>
        <w:t xml:space="preserve">(8), 634-640. </w:t>
      </w:r>
      <w:hyperlink r:id="rId68">
        <w:r w:rsidR="00AD7388" w:rsidRPr="009F0DEE">
          <w:rPr>
            <w:rFonts w:ascii="Aptos Narrow" w:eastAsia="Alegreya" w:hAnsi="Aptos Narrow" w:cs="Alegreya"/>
            <w:color w:val="1155CC"/>
            <w:sz w:val="18"/>
            <w:szCs w:val="18"/>
            <w:u w:val="single"/>
          </w:rPr>
          <w:t>https://doi.org/10.1016/S2352-4642(20)30186-3</w:t>
        </w:r>
      </w:hyperlink>
      <w:r w:rsidRPr="009F0DEE">
        <w:rPr>
          <w:rFonts w:ascii="Aptos Narrow" w:eastAsia="Alegreya" w:hAnsi="Aptos Narrow" w:cs="Alegreya"/>
          <w:sz w:val="18"/>
          <w:szCs w:val="18"/>
        </w:rPr>
        <w:t xml:space="preserve"> </w:t>
      </w:r>
    </w:p>
    <w:p w14:paraId="6E1064C3"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Osmont, A., Camarda, A., Habib, M., Cassotti, M. (2021). Peers’ choices influence adolescent risk-taking especially when explicit risk information is </w:t>
      </w:r>
    </w:p>
    <w:p w14:paraId="00000117" w14:textId="799541F6"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lacking. </w:t>
      </w:r>
      <w:r w:rsidRPr="009F0DEE">
        <w:rPr>
          <w:rFonts w:ascii="Aptos Narrow" w:eastAsia="Alegreya" w:hAnsi="Aptos Narrow" w:cs="Alegreya"/>
          <w:i/>
          <w:color w:val="000000"/>
          <w:sz w:val="18"/>
          <w:szCs w:val="18"/>
        </w:rPr>
        <w:t>Journal of Research on Adolescence, 31</w:t>
      </w:r>
      <w:r w:rsidRPr="009F0DEE">
        <w:rPr>
          <w:rFonts w:ascii="Aptos Narrow" w:eastAsia="Alegreya" w:hAnsi="Aptos Narrow" w:cs="Alegreya"/>
          <w:color w:val="000000"/>
          <w:sz w:val="18"/>
          <w:szCs w:val="18"/>
        </w:rPr>
        <w:t xml:space="preserve">(2), 402-416. </w:t>
      </w:r>
      <w:hyperlink r:id="rId69">
        <w:r w:rsidR="00AD7388" w:rsidRPr="009F0DEE">
          <w:rPr>
            <w:rFonts w:ascii="Aptos Narrow" w:eastAsia="Alegreya" w:hAnsi="Aptos Narrow" w:cs="Alegreya"/>
            <w:color w:val="467886"/>
            <w:sz w:val="18"/>
            <w:szCs w:val="18"/>
            <w:u w:val="single"/>
          </w:rPr>
          <w:t>https://doi.org/10.1111/jora.12611</w:t>
        </w:r>
      </w:hyperlink>
      <w:r w:rsidRPr="009F0DEE">
        <w:rPr>
          <w:rFonts w:ascii="Aptos Narrow" w:eastAsia="Alegreya" w:hAnsi="Aptos Narrow" w:cs="Alegreya"/>
          <w:color w:val="000000"/>
          <w:sz w:val="18"/>
          <w:szCs w:val="18"/>
        </w:rPr>
        <w:t xml:space="preserve"> </w:t>
      </w:r>
    </w:p>
    <w:p w14:paraId="00000118" w14:textId="77777777"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Piaget, J. (1932/1965). </w:t>
      </w:r>
      <w:r w:rsidRPr="009F0DEE">
        <w:rPr>
          <w:rFonts w:ascii="Aptos Narrow" w:eastAsia="Alegreya" w:hAnsi="Aptos Narrow" w:cs="Alegreya"/>
          <w:i/>
          <w:sz w:val="18"/>
          <w:szCs w:val="18"/>
        </w:rPr>
        <w:t xml:space="preserve">The moral judgement of the child. </w:t>
      </w:r>
      <w:r w:rsidRPr="009F0DEE">
        <w:rPr>
          <w:rFonts w:ascii="Aptos Narrow" w:eastAsia="Alegreya" w:hAnsi="Aptos Narrow" w:cs="Alegreya"/>
          <w:sz w:val="18"/>
          <w:szCs w:val="18"/>
        </w:rPr>
        <w:t xml:space="preserve">Trans. M. Gabain. New York: Free Press. </w:t>
      </w:r>
    </w:p>
    <w:p w14:paraId="06BE1AAF" w14:textId="77777777" w:rsidR="007773C2" w:rsidRPr="009F0DEE" w:rsidRDefault="00B83410"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Pote, C., Dykes, G., Carelse, S. (2022). Social support networks for youths aging out of residential care to promote positive transition outcomes: A </w:t>
      </w:r>
    </w:p>
    <w:p w14:paraId="0000011A" w14:textId="4EA0B7F5"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scoping review. </w:t>
      </w:r>
      <w:r w:rsidRPr="009F0DEE">
        <w:rPr>
          <w:rFonts w:ascii="Aptos Narrow" w:eastAsia="Alegreya" w:hAnsi="Aptos Narrow" w:cs="Alegreya"/>
          <w:i/>
          <w:sz w:val="18"/>
          <w:szCs w:val="18"/>
        </w:rPr>
        <w:t>Social Work, 58</w:t>
      </w:r>
      <w:r w:rsidRPr="009F0DEE">
        <w:rPr>
          <w:rFonts w:ascii="Aptos Narrow" w:eastAsia="Alegreya" w:hAnsi="Aptos Narrow" w:cs="Alegreya"/>
          <w:sz w:val="18"/>
          <w:szCs w:val="18"/>
        </w:rPr>
        <w:t xml:space="preserve">(7). </w:t>
      </w:r>
      <w:hyperlink r:id="rId70">
        <w:r w:rsidR="00AD7388" w:rsidRPr="009F0DEE">
          <w:rPr>
            <w:rFonts w:ascii="Aptos Narrow" w:eastAsia="Alegreya" w:hAnsi="Aptos Narrow" w:cs="Alegreya"/>
            <w:color w:val="1155CC"/>
            <w:sz w:val="18"/>
            <w:szCs w:val="18"/>
            <w:u w:val="single"/>
          </w:rPr>
          <w:t>https://doi.org/10.15270/58-1-992</w:t>
        </w:r>
      </w:hyperlink>
      <w:r w:rsidRPr="009F0DEE">
        <w:rPr>
          <w:rFonts w:ascii="Aptos Narrow" w:eastAsia="Alegreya" w:hAnsi="Aptos Narrow" w:cs="Alegreya"/>
          <w:sz w:val="18"/>
          <w:szCs w:val="18"/>
        </w:rPr>
        <w:t xml:space="preserve"> </w:t>
      </w:r>
    </w:p>
    <w:p w14:paraId="61323EF7"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Powers, K. E., Schaefer, L., Figner</w:t>
      </w:r>
      <w:r w:rsidRPr="009F0DEE">
        <w:rPr>
          <w:rFonts w:ascii="Aptos Narrow" w:eastAsia="Alegreya" w:hAnsi="Aptos Narrow" w:cs="Alegreya"/>
          <w:color w:val="000000"/>
          <w:sz w:val="18"/>
          <w:szCs w:val="18"/>
        </w:rPr>
        <w:t xml:space="preserve">, B., Somerville, L. H. (2022). Effects of peer observation on risky decision-making in adolescence: A meta-analytic </w:t>
      </w:r>
    </w:p>
    <w:p w14:paraId="0000011D" w14:textId="5FA6751A"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review. </w:t>
      </w:r>
      <w:r w:rsidRPr="009F0DEE">
        <w:rPr>
          <w:rFonts w:ascii="Aptos Narrow" w:eastAsia="Alegreya" w:hAnsi="Aptos Narrow" w:cs="Alegreya"/>
          <w:i/>
          <w:color w:val="000000"/>
          <w:sz w:val="18"/>
          <w:szCs w:val="18"/>
        </w:rPr>
        <w:t>Psychological Bulletin, 148</w:t>
      </w:r>
      <w:r w:rsidRPr="009F0DEE">
        <w:rPr>
          <w:rFonts w:ascii="Aptos Narrow" w:eastAsia="Alegreya" w:hAnsi="Aptos Narrow" w:cs="Alegreya"/>
          <w:color w:val="000000"/>
          <w:sz w:val="18"/>
          <w:szCs w:val="18"/>
        </w:rPr>
        <w:t xml:space="preserve">(11-12), 783-812. </w:t>
      </w:r>
      <w:hyperlink r:id="rId71">
        <w:r w:rsidR="00AD7388" w:rsidRPr="009F0DEE">
          <w:rPr>
            <w:rFonts w:ascii="Aptos Narrow" w:eastAsia="Alegreya" w:hAnsi="Aptos Narrow" w:cs="Alegreya"/>
            <w:color w:val="467886"/>
            <w:sz w:val="18"/>
            <w:szCs w:val="18"/>
            <w:u w:val="single"/>
          </w:rPr>
          <w:t>https://doi.org/10.1037/bul0000382</w:t>
        </w:r>
      </w:hyperlink>
      <w:r w:rsidRPr="009F0DEE">
        <w:rPr>
          <w:rFonts w:ascii="Aptos Narrow" w:eastAsia="Alegreya" w:hAnsi="Aptos Narrow" w:cs="Alegreya"/>
          <w:color w:val="000000"/>
          <w:sz w:val="18"/>
          <w:szCs w:val="18"/>
        </w:rPr>
        <w:t xml:space="preserve"> </w:t>
      </w:r>
    </w:p>
    <w:p w14:paraId="1F4E8CE7" w14:textId="77777777" w:rsidR="007773C2" w:rsidRPr="009F0DEE" w:rsidRDefault="00B83410"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Raymaekers, A., Nuytiens, A., Hermans, K. (2025). The contribution of the social network of care leavers to a successful transition in adulthood: A </w:t>
      </w:r>
    </w:p>
    <w:p w14:paraId="00000120" w14:textId="49FD40F6"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realist review. </w:t>
      </w:r>
      <w:r w:rsidRPr="009F0DEE">
        <w:rPr>
          <w:rFonts w:ascii="Aptos Narrow" w:eastAsia="Alegreya" w:hAnsi="Aptos Narrow" w:cs="Alegreya"/>
          <w:i/>
          <w:sz w:val="18"/>
          <w:szCs w:val="18"/>
        </w:rPr>
        <w:t>Children and Youth Services Review, 177.</w:t>
      </w:r>
      <w:r w:rsidRPr="009F0DEE">
        <w:rPr>
          <w:rFonts w:ascii="Aptos Narrow" w:eastAsia="Alegreya" w:hAnsi="Aptos Narrow" w:cs="Alegreya"/>
          <w:sz w:val="18"/>
          <w:szCs w:val="18"/>
        </w:rPr>
        <w:t xml:space="preserve"> </w:t>
      </w:r>
      <w:hyperlink r:id="rId72" w:history="1">
        <w:r w:rsidR="007773C2" w:rsidRPr="009F0DEE">
          <w:rPr>
            <w:rStyle w:val="Hyperlink"/>
            <w:rFonts w:ascii="Aptos Narrow" w:eastAsia="Alegreya" w:hAnsi="Aptos Narrow" w:cs="Alegreya"/>
            <w:sz w:val="18"/>
            <w:szCs w:val="18"/>
          </w:rPr>
          <w:t>https://doi.org/10.1016/j.childyouth.2025.108496</w:t>
        </w:r>
      </w:hyperlink>
      <w:r w:rsidRPr="009F0DEE">
        <w:rPr>
          <w:rFonts w:ascii="Aptos Narrow" w:eastAsia="Alegreya" w:hAnsi="Aptos Narrow" w:cs="Alegreya"/>
          <w:sz w:val="18"/>
          <w:szCs w:val="18"/>
        </w:rPr>
        <w:t xml:space="preserve"> </w:t>
      </w:r>
    </w:p>
    <w:p w14:paraId="125EAD65" w14:textId="77777777" w:rsidR="007773C2" w:rsidRPr="009F0DEE" w:rsidRDefault="00B83410" w:rsidP="007773C2">
      <w:pPr>
        <w:shd w:val="clear" w:color="auto" w:fill="FFFFFF"/>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 xml:space="preserve">Reuben, S. (2024). Networking people for goal attainment: Psychosocial processes facilitating resilience of care-leavers in South Africa. </w:t>
      </w:r>
      <w:r w:rsidRPr="009F0DEE">
        <w:rPr>
          <w:rFonts w:ascii="Aptos Narrow" w:eastAsia="Alegreya" w:hAnsi="Aptos Narrow" w:cs="Alegreya"/>
          <w:i/>
          <w:sz w:val="18"/>
          <w:szCs w:val="18"/>
        </w:rPr>
        <w:t xml:space="preserve">Child and </w:t>
      </w:r>
    </w:p>
    <w:p w14:paraId="00000123" w14:textId="205FB2E5"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Youth Services Review, 163.</w:t>
      </w:r>
      <w:r w:rsidRPr="009F0DEE">
        <w:rPr>
          <w:rFonts w:ascii="Aptos Narrow" w:eastAsia="Alegreya" w:hAnsi="Aptos Narrow" w:cs="Alegreya"/>
          <w:sz w:val="18"/>
          <w:szCs w:val="18"/>
        </w:rPr>
        <w:t xml:space="preserve"> </w:t>
      </w:r>
      <w:hyperlink r:id="rId73" w:history="1">
        <w:r w:rsidR="007773C2" w:rsidRPr="009F0DEE">
          <w:rPr>
            <w:rStyle w:val="Hyperlink"/>
            <w:rFonts w:ascii="Aptos Narrow" w:eastAsia="Alegreya" w:hAnsi="Aptos Narrow" w:cs="Alegreya"/>
            <w:sz w:val="18"/>
            <w:szCs w:val="18"/>
          </w:rPr>
          <w:t>https://doi.org/10.1016/j.childyouth.2024.107798</w:t>
        </w:r>
      </w:hyperlink>
      <w:r w:rsidRPr="009F0DEE">
        <w:rPr>
          <w:rFonts w:ascii="Aptos Narrow" w:eastAsia="Alegreya" w:hAnsi="Aptos Narrow" w:cs="Alegreya"/>
          <w:sz w:val="18"/>
          <w:szCs w:val="18"/>
        </w:rPr>
        <w:t xml:space="preserve"> </w:t>
      </w:r>
    </w:p>
    <w:p w14:paraId="26268D9E" w14:textId="77777777" w:rsidR="00C11E42" w:rsidRPr="009F0DEE" w:rsidRDefault="00C11E42" w:rsidP="007773C2">
      <w:pPr>
        <w:shd w:val="clear" w:color="auto" w:fill="FFFFFF"/>
        <w:spacing w:after="0" w:line="240" w:lineRule="auto"/>
        <w:rPr>
          <w:rFonts w:ascii="Aptos Narrow" w:eastAsia="Alegreya" w:hAnsi="Aptos Narrow" w:cs="Alegreya"/>
          <w:i/>
          <w:iCs/>
          <w:color w:val="000000"/>
          <w:sz w:val="18"/>
          <w:szCs w:val="18"/>
        </w:rPr>
      </w:pPr>
      <w:r w:rsidRPr="009F0DEE">
        <w:rPr>
          <w:rFonts w:ascii="Aptos Narrow" w:eastAsia="Alegreya" w:hAnsi="Aptos Narrow" w:cs="Alegreya"/>
          <w:color w:val="000000"/>
          <w:sz w:val="18"/>
          <w:szCs w:val="18"/>
        </w:rPr>
        <w:t xml:space="preserve">Richaud de Minzi, M. C. (2006). Loneliness and depression in middle and late childhood: The relationship to attachment and parental styles. </w:t>
      </w:r>
      <w:r w:rsidRPr="009F0DEE">
        <w:rPr>
          <w:rFonts w:ascii="Aptos Narrow" w:eastAsia="Alegreya" w:hAnsi="Aptos Narrow" w:cs="Alegreya"/>
          <w:i/>
          <w:iCs/>
          <w:color w:val="000000"/>
          <w:sz w:val="18"/>
          <w:szCs w:val="18"/>
        </w:rPr>
        <w:t xml:space="preserve">The </w:t>
      </w:r>
    </w:p>
    <w:p w14:paraId="12BCB465" w14:textId="3167C901" w:rsidR="00C11E42" w:rsidRPr="009F0DEE" w:rsidRDefault="00C11E42" w:rsidP="00C11E4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i/>
          <w:iCs/>
          <w:color w:val="000000"/>
          <w:sz w:val="18"/>
          <w:szCs w:val="18"/>
        </w:rPr>
        <w:t>Journal of Genetic Psychology, 167</w:t>
      </w:r>
      <w:r w:rsidRPr="009F0DEE">
        <w:rPr>
          <w:rFonts w:ascii="Aptos Narrow" w:eastAsia="Alegreya" w:hAnsi="Aptos Narrow" w:cs="Alegreya"/>
          <w:color w:val="000000"/>
          <w:sz w:val="18"/>
          <w:szCs w:val="18"/>
        </w:rPr>
        <w:t xml:space="preserve">(2), 189-210. </w:t>
      </w:r>
      <w:hyperlink r:id="rId74" w:history="1">
        <w:r w:rsidR="0005291E" w:rsidRPr="009F0DEE">
          <w:rPr>
            <w:rStyle w:val="Hyperlink"/>
            <w:rFonts w:ascii="Aptos Narrow" w:eastAsia="Alegreya" w:hAnsi="Aptos Narrow" w:cs="Alegreya"/>
            <w:sz w:val="18"/>
            <w:szCs w:val="18"/>
          </w:rPr>
          <w:t>https://doi.org/10.3200/GNTP.167.2.189-210</w:t>
        </w:r>
      </w:hyperlink>
      <w:r w:rsidR="0005291E" w:rsidRPr="009F0DEE">
        <w:rPr>
          <w:rFonts w:ascii="Aptos Narrow" w:eastAsia="Alegreya" w:hAnsi="Aptos Narrow" w:cs="Alegreya"/>
          <w:color w:val="000000"/>
          <w:sz w:val="18"/>
          <w:szCs w:val="18"/>
        </w:rPr>
        <w:t xml:space="preserve"> </w:t>
      </w:r>
    </w:p>
    <w:p w14:paraId="7A19681A" w14:textId="0319E040" w:rsidR="007773C2" w:rsidRPr="009F0DEE" w:rsidRDefault="00B83410" w:rsidP="007773C2">
      <w:pPr>
        <w:shd w:val="clear" w:color="auto" w:fill="FFFFFF"/>
        <w:spacing w:after="0" w:line="240" w:lineRule="auto"/>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Roesch-Marsh, A., &amp; Emond, R. (2020). Care experience and friendship: Theory and international evidence to improve practice and future research</w:t>
      </w:r>
      <w:r w:rsidRPr="009F0DEE">
        <w:rPr>
          <w:rFonts w:ascii="Aptos Narrow" w:eastAsia="Alegreya" w:hAnsi="Aptos Narrow" w:cs="Alegreya"/>
          <w:i/>
          <w:color w:val="000000"/>
          <w:sz w:val="18"/>
          <w:szCs w:val="18"/>
        </w:rPr>
        <w:t xml:space="preserve">. </w:t>
      </w:r>
    </w:p>
    <w:p w14:paraId="00000126" w14:textId="6D5BE97E"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i/>
          <w:color w:val="000000"/>
          <w:sz w:val="18"/>
          <w:szCs w:val="18"/>
        </w:rPr>
        <w:t>The British Journal of Social Work, 51</w:t>
      </w:r>
      <w:r w:rsidRPr="009F0DEE">
        <w:rPr>
          <w:rFonts w:ascii="Aptos Narrow" w:eastAsia="Alegreya" w:hAnsi="Aptos Narrow" w:cs="Alegreya"/>
          <w:color w:val="000000"/>
          <w:sz w:val="18"/>
          <w:szCs w:val="18"/>
        </w:rPr>
        <w:t xml:space="preserve">(1), 132-149. </w:t>
      </w:r>
      <w:hyperlink r:id="rId75">
        <w:r w:rsidR="00AD7388" w:rsidRPr="009F0DEE">
          <w:rPr>
            <w:rFonts w:ascii="Aptos Narrow" w:eastAsia="Alegreya" w:hAnsi="Aptos Narrow" w:cs="Alegreya"/>
            <w:color w:val="1155CC"/>
            <w:sz w:val="18"/>
            <w:szCs w:val="18"/>
            <w:u w:val="single"/>
          </w:rPr>
          <w:t>https://doi.org/10.1093/bjsw/bcaa131</w:t>
        </w:r>
      </w:hyperlink>
      <w:r w:rsidRPr="009F0DEE">
        <w:rPr>
          <w:rFonts w:ascii="Aptos Narrow" w:eastAsia="Alegreya" w:hAnsi="Aptos Narrow" w:cs="Alegreya"/>
          <w:color w:val="000000"/>
          <w:sz w:val="18"/>
          <w:szCs w:val="18"/>
        </w:rPr>
        <w:t> </w:t>
      </w:r>
    </w:p>
    <w:p w14:paraId="277234DE"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Roesch-Marsh, A., Roxburgh, M., Bartlett, T., Nicholas, D. (2022). The protective power of friendship, advocacy and activism: A short report on the </w:t>
      </w:r>
    </w:p>
    <w:p w14:paraId="00000129" w14:textId="41A664B4"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experiences of Who Cares? members and allies. </w:t>
      </w:r>
      <w:r w:rsidRPr="009F0DEE">
        <w:rPr>
          <w:rFonts w:ascii="Aptos Narrow" w:eastAsia="Alegreya" w:hAnsi="Aptos Narrow" w:cs="Alegreya"/>
          <w:i/>
          <w:color w:val="000000"/>
          <w:sz w:val="18"/>
          <w:szCs w:val="18"/>
        </w:rPr>
        <w:t>Child Abuse Review, 32</w:t>
      </w:r>
      <w:r w:rsidRPr="009F0DEE">
        <w:rPr>
          <w:rFonts w:ascii="Aptos Narrow" w:eastAsia="Alegreya" w:hAnsi="Aptos Narrow" w:cs="Alegreya"/>
          <w:color w:val="000000"/>
          <w:sz w:val="18"/>
          <w:szCs w:val="18"/>
        </w:rPr>
        <w:t>(3). </w:t>
      </w:r>
      <w:hyperlink r:id="rId76">
        <w:r w:rsidR="00AD7388" w:rsidRPr="009F0DEE">
          <w:rPr>
            <w:rFonts w:ascii="Aptos Narrow" w:eastAsia="Alegreya" w:hAnsi="Aptos Narrow" w:cs="Alegreya"/>
            <w:color w:val="467886"/>
            <w:sz w:val="18"/>
            <w:szCs w:val="18"/>
            <w:u w:val="single"/>
          </w:rPr>
          <w:t>https://doi.org/10.1002/car.2823</w:t>
        </w:r>
      </w:hyperlink>
      <w:r w:rsidRPr="009F0DEE">
        <w:rPr>
          <w:rFonts w:ascii="Aptos Narrow" w:eastAsia="Alegreya" w:hAnsi="Aptos Narrow" w:cs="Alegreya"/>
          <w:color w:val="000000"/>
          <w:sz w:val="18"/>
          <w:szCs w:val="18"/>
        </w:rPr>
        <w:t> </w:t>
      </w:r>
    </w:p>
    <w:p w14:paraId="3BF01CA8" w14:textId="7910AC4F" w:rsidR="007773C2" w:rsidRPr="009F0DEE" w:rsidRDefault="00B83410" w:rsidP="007773C2">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Rubin, K., Fredstrom, B., Bowker, J. (2008). Future directions in … Friendship in childhood and early adolescence. </w:t>
      </w:r>
      <w:r w:rsidRPr="009F0DEE">
        <w:rPr>
          <w:rFonts w:ascii="Aptos Narrow" w:eastAsia="Alegreya" w:hAnsi="Aptos Narrow" w:cs="Alegreya"/>
          <w:i/>
          <w:sz w:val="18"/>
          <w:szCs w:val="18"/>
        </w:rPr>
        <w:t>Social Development, 17</w:t>
      </w:r>
      <w:r w:rsidRPr="009F0DEE">
        <w:rPr>
          <w:rFonts w:ascii="Aptos Narrow" w:eastAsia="Alegreya" w:hAnsi="Aptos Narrow" w:cs="Alegreya"/>
          <w:sz w:val="18"/>
          <w:szCs w:val="18"/>
        </w:rPr>
        <w:t>(4)</w:t>
      </w:r>
      <w:r w:rsidR="000368D1" w:rsidRPr="009F0DEE">
        <w:rPr>
          <w:rFonts w:ascii="Aptos Narrow" w:eastAsia="Alegreya" w:hAnsi="Aptos Narrow" w:cs="Alegreya"/>
          <w:sz w:val="18"/>
          <w:szCs w:val="18"/>
        </w:rPr>
        <w:t>.</w:t>
      </w:r>
    </w:p>
    <w:p w14:paraId="0000012B" w14:textId="5B8E0FE5" w:rsidR="00AD7388" w:rsidRPr="009F0DEE" w:rsidRDefault="007773C2" w:rsidP="007773C2">
      <w:pPr>
        <w:shd w:val="clear" w:color="auto" w:fill="FFFFFF"/>
        <w:spacing w:after="0" w:line="240" w:lineRule="auto"/>
        <w:ind w:firstLine="720"/>
        <w:rPr>
          <w:rFonts w:ascii="Aptos Narrow" w:eastAsia="Alegreya" w:hAnsi="Aptos Narrow" w:cs="Alegreya"/>
          <w:sz w:val="18"/>
          <w:szCs w:val="18"/>
        </w:rPr>
      </w:pPr>
      <w:hyperlink r:id="rId77" w:history="1">
        <w:r w:rsidRPr="009F0DEE">
          <w:rPr>
            <w:rStyle w:val="Hyperlink"/>
            <w:rFonts w:ascii="Aptos Narrow" w:eastAsia="Alegreya" w:hAnsi="Aptos Narrow" w:cs="Alegreya"/>
            <w:sz w:val="18"/>
            <w:szCs w:val="18"/>
          </w:rPr>
          <w:t>https://doi.org/10.1111/j.1467-9507.2007.00445.x</w:t>
        </w:r>
      </w:hyperlink>
      <w:r w:rsidRPr="009F0DEE">
        <w:rPr>
          <w:rFonts w:ascii="Aptos Narrow" w:eastAsia="Alegreya" w:hAnsi="Aptos Narrow" w:cs="Alegreya"/>
          <w:sz w:val="18"/>
          <w:szCs w:val="18"/>
        </w:rPr>
        <w:t xml:space="preserve"> </w:t>
      </w:r>
    </w:p>
    <w:p w14:paraId="3F8452B5"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Sakyi, K. S., Surkan, P. J., Fombonne, E., Chollet, Melchior, M. (2015). Childhood friendships and psychological difficulties in young adulthood: An </w:t>
      </w:r>
    </w:p>
    <w:p w14:paraId="0000012E" w14:textId="45F0BCB5"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18 year follow-up study. </w:t>
      </w:r>
      <w:r w:rsidRPr="009F0DEE">
        <w:rPr>
          <w:rFonts w:ascii="Aptos Narrow" w:eastAsia="Alegreya" w:hAnsi="Aptos Narrow" w:cs="Alegreya"/>
          <w:i/>
          <w:color w:val="000000"/>
          <w:sz w:val="18"/>
          <w:szCs w:val="18"/>
        </w:rPr>
        <w:t>Eur Child Adolesc Psychiatry, 24</w:t>
      </w:r>
      <w:r w:rsidRPr="009F0DEE">
        <w:rPr>
          <w:rFonts w:ascii="Aptos Narrow" w:eastAsia="Alegreya" w:hAnsi="Aptos Narrow" w:cs="Alegreya"/>
          <w:color w:val="000000"/>
          <w:sz w:val="18"/>
          <w:szCs w:val="18"/>
        </w:rPr>
        <w:t xml:space="preserve">(7), 815-826. </w:t>
      </w:r>
      <w:hyperlink r:id="rId78">
        <w:r w:rsidR="00AD7388" w:rsidRPr="009F0DEE">
          <w:rPr>
            <w:rFonts w:ascii="Aptos Narrow" w:eastAsia="Alegreya" w:hAnsi="Aptos Narrow" w:cs="Alegreya"/>
            <w:color w:val="467886"/>
            <w:sz w:val="18"/>
            <w:szCs w:val="18"/>
            <w:u w:val="single"/>
          </w:rPr>
          <w:t>https://doi.org/10.1007/s00787-014-0626-8</w:t>
        </w:r>
      </w:hyperlink>
      <w:r w:rsidRPr="009F0DEE">
        <w:rPr>
          <w:rFonts w:ascii="Aptos Narrow" w:eastAsia="Alegreya" w:hAnsi="Aptos Narrow" w:cs="Alegreya"/>
          <w:color w:val="000000"/>
          <w:sz w:val="18"/>
          <w:szCs w:val="18"/>
        </w:rPr>
        <w:t xml:space="preserve"> </w:t>
      </w:r>
    </w:p>
    <w:p w14:paraId="7A44815D"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Saragosa-Harris, N. M., Cohen, A. O., Reneau, T. R., Villano, W. J., Heller, A. S., Hartley, C. A. (2022). Real-world exploration increases across </w:t>
      </w:r>
    </w:p>
    <w:p w14:paraId="00000131" w14:textId="27942B0E"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adolescence and relates to affect, risk taking, and social connectivity. </w:t>
      </w:r>
      <w:r w:rsidRPr="009F0DEE">
        <w:rPr>
          <w:rFonts w:ascii="Aptos Narrow" w:eastAsia="Alegreya" w:hAnsi="Aptos Narrow" w:cs="Alegreya"/>
          <w:i/>
          <w:color w:val="000000"/>
          <w:sz w:val="18"/>
          <w:szCs w:val="18"/>
        </w:rPr>
        <w:t>Psychological Science, 33</w:t>
      </w:r>
      <w:r w:rsidRPr="009F0DEE">
        <w:rPr>
          <w:rFonts w:ascii="Aptos Narrow" w:eastAsia="Alegreya" w:hAnsi="Aptos Narrow" w:cs="Alegreya"/>
          <w:color w:val="000000"/>
          <w:sz w:val="18"/>
          <w:szCs w:val="18"/>
        </w:rPr>
        <w:t xml:space="preserve">(10), 1664-1679. </w:t>
      </w:r>
    </w:p>
    <w:p w14:paraId="00000132" w14:textId="77777777" w:rsidR="00AD7388" w:rsidRPr="009F0DEE" w:rsidRDefault="00AD7388">
      <w:pPr>
        <w:shd w:val="clear" w:color="auto" w:fill="FFFFFF"/>
        <w:spacing w:after="0" w:line="240" w:lineRule="auto"/>
        <w:ind w:firstLine="720"/>
        <w:rPr>
          <w:rFonts w:ascii="Aptos Narrow" w:eastAsia="Alegreya" w:hAnsi="Aptos Narrow" w:cs="Alegreya"/>
          <w:color w:val="000000"/>
          <w:sz w:val="18"/>
          <w:szCs w:val="18"/>
        </w:rPr>
      </w:pPr>
      <w:hyperlink r:id="rId79">
        <w:r w:rsidRPr="009F0DEE">
          <w:rPr>
            <w:rFonts w:ascii="Aptos Narrow" w:eastAsia="Alegreya" w:hAnsi="Aptos Narrow" w:cs="Alegreya"/>
            <w:color w:val="467886"/>
            <w:sz w:val="18"/>
            <w:szCs w:val="18"/>
            <w:u w:val="single"/>
          </w:rPr>
          <w:t>https://doi.org/10.1177/09567976221102070</w:t>
        </w:r>
      </w:hyperlink>
      <w:r w:rsidRPr="009F0DEE">
        <w:rPr>
          <w:rFonts w:ascii="Aptos Narrow" w:eastAsia="Alegreya" w:hAnsi="Aptos Narrow" w:cs="Alegreya"/>
          <w:color w:val="000000"/>
          <w:sz w:val="18"/>
          <w:szCs w:val="18"/>
        </w:rPr>
        <w:t xml:space="preserve"> </w:t>
      </w:r>
    </w:p>
    <w:p w14:paraId="00000133" w14:textId="77777777" w:rsidR="00AD7388" w:rsidRPr="009F0DEE" w:rsidRDefault="00B83410">
      <w:pPr>
        <w:shd w:val="clear" w:color="auto" w:fill="FFFFFF"/>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Schacter, H. L., Hoffman, A. J., Ehrhardt, A. D. (2023). The power dynamics of friendship: Between- and within- person associations among </w:t>
      </w:r>
    </w:p>
    <w:p w14:paraId="00000134" w14:textId="77777777" w:rsidR="00AD7388" w:rsidRPr="009F0DEE" w:rsidRDefault="00B83410">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friend dominance, self-esteem, and adolescent internalizing symptoms. </w:t>
      </w:r>
      <w:r w:rsidRPr="009F0DEE">
        <w:rPr>
          <w:rFonts w:ascii="Aptos Narrow" w:eastAsia="Alegreya" w:hAnsi="Aptos Narrow" w:cs="Alegreya"/>
          <w:i/>
          <w:sz w:val="18"/>
          <w:szCs w:val="18"/>
        </w:rPr>
        <w:t>Journal of Youth and Adolescence, 52</w:t>
      </w:r>
      <w:r w:rsidRPr="009F0DEE">
        <w:rPr>
          <w:rFonts w:ascii="Aptos Narrow" w:eastAsia="Alegreya" w:hAnsi="Aptos Narrow" w:cs="Alegreya"/>
          <w:sz w:val="18"/>
          <w:szCs w:val="18"/>
        </w:rPr>
        <w:t xml:space="preserve">, 1206-1218. </w:t>
      </w:r>
    </w:p>
    <w:p w14:paraId="00000135" w14:textId="77777777" w:rsidR="00AD7388" w:rsidRPr="009F0DEE" w:rsidRDefault="00AD7388">
      <w:pPr>
        <w:shd w:val="clear" w:color="auto" w:fill="FFFFFF"/>
        <w:spacing w:after="0" w:line="240" w:lineRule="auto"/>
        <w:ind w:firstLine="720"/>
        <w:rPr>
          <w:rFonts w:ascii="Aptos Narrow" w:eastAsia="Alegreya" w:hAnsi="Aptos Narrow" w:cs="Alegreya"/>
          <w:sz w:val="18"/>
          <w:szCs w:val="18"/>
        </w:rPr>
      </w:pPr>
      <w:hyperlink r:id="rId80">
        <w:r w:rsidRPr="009F0DEE">
          <w:rPr>
            <w:rFonts w:ascii="Aptos Narrow" w:eastAsia="Alegreya" w:hAnsi="Aptos Narrow" w:cs="Alegreya"/>
            <w:color w:val="1155CC"/>
            <w:sz w:val="18"/>
            <w:szCs w:val="18"/>
            <w:u w:val="single"/>
          </w:rPr>
          <w:t>https://doi.org/10.1007/s10964-023-01763-0</w:t>
        </w:r>
      </w:hyperlink>
      <w:r w:rsidRPr="009F0DEE">
        <w:rPr>
          <w:rFonts w:ascii="Aptos Narrow" w:eastAsia="Alegreya" w:hAnsi="Aptos Narrow" w:cs="Alegreya"/>
          <w:sz w:val="18"/>
          <w:szCs w:val="18"/>
        </w:rPr>
        <w:t xml:space="preserve"> </w:t>
      </w:r>
    </w:p>
    <w:p w14:paraId="2A924988"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Shah, E. N., Szwedo, D. E., Allen J. P. (2024). Adolescent close friendships, self-perceived social acceptance, and peer-rated likeability as </w:t>
      </w:r>
    </w:p>
    <w:p w14:paraId="00000138" w14:textId="54FDE04A"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predictors of wellbeing in young adulthood. </w:t>
      </w:r>
      <w:r w:rsidRPr="009F0DEE">
        <w:rPr>
          <w:rFonts w:ascii="Aptos Narrow" w:eastAsia="Alegreya" w:hAnsi="Aptos Narrow" w:cs="Alegreya"/>
          <w:i/>
          <w:color w:val="000000"/>
          <w:sz w:val="18"/>
          <w:szCs w:val="18"/>
        </w:rPr>
        <w:t>Frontiers in Developmental Psychology, 2</w:t>
      </w:r>
      <w:r w:rsidRPr="009F0DEE">
        <w:rPr>
          <w:rFonts w:ascii="Aptos Narrow" w:eastAsia="Alegreya" w:hAnsi="Aptos Narrow" w:cs="Alegreya"/>
          <w:color w:val="000000"/>
          <w:sz w:val="18"/>
          <w:szCs w:val="18"/>
        </w:rPr>
        <w:t xml:space="preserve">. </w:t>
      </w:r>
      <w:hyperlink r:id="rId81">
        <w:r w:rsidR="00AD7388" w:rsidRPr="009F0DEE">
          <w:rPr>
            <w:rFonts w:ascii="Aptos Narrow" w:eastAsia="Alegreya" w:hAnsi="Aptos Narrow" w:cs="Alegreya"/>
            <w:color w:val="467886"/>
            <w:sz w:val="18"/>
            <w:szCs w:val="18"/>
            <w:u w:val="single"/>
          </w:rPr>
          <w:t>https://doi.org/10.3389/fdpys.2024.1435727</w:t>
        </w:r>
      </w:hyperlink>
      <w:r w:rsidRPr="009F0DEE">
        <w:rPr>
          <w:rFonts w:ascii="Aptos Narrow" w:eastAsia="Alegreya" w:hAnsi="Aptos Narrow" w:cs="Alegreya"/>
          <w:color w:val="000000"/>
          <w:sz w:val="18"/>
          <w:szCs w:val="18"/>
        </w:rPr>
        <w:t xml:space="preserve"> </w:t>
      </w:r>
    </w:p>
    <w:p w14:paraId="00000139" w14:textId="77777777" w:rsidR="00AD7388" w:rsidRPr="009F0DEE" w:rsidRDefault="00B83410">
      <w:pPr>
        <w:shd w:val="clear" w:color="auto" w:fill="FFFFFF"/>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lang w:val="pl-PL"/>
        </w:rPr>
        <w:t xml:space="preserve">Siraj, R., Najam, B., Ghazal, S. (2021). </w:t>
      </w:r>
      <w:r w:rsidRPr="009F0DEE">
        <w:rPr>
          <w:rFonts w:ascii="Aptos Narrow" w:eastAsia="Alegreya" w:hAnsi="Aptos Narrow" w:cs="Alegreya"/>
          <w:sz w:val="18"/>
          <w:szCs w:val="18"/>
        </w:rPr>
        <w:t xml:space="preserve">Sensation seeking, peer influence, and risk-taking behavior in adolescents. </w:t>
      </w:r>
      <w:r w:rsidRPr="009F0DEE">
        <w:rPr>
          <w:rFonts w:ascii="Aptos Narrow" w:eastAsia="Alegreya" w:hAnsi="Aptos Narrow" w:cs="Alegreya"/>
          <w:i/>
          <w:sz w:val="18"/>
          <w:szCs w:val="18"/>
        </w:rPr>
        <w:t xml:space="preserve">Education Research </w:t>
      </w:r>
    </w:p>
    <w:p w14:paraId="0000013A" w14:textId="77777777" w:rsidR="00AD7388" w:rsidRPr="009F0DEE" w:rsidRDefault="00B83410">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International, 1</w:t>
      </w:r>
      <w:r w:rsidRPr="009F0DEE">
        <w:rPr>
          <w:rFonts w:ascii="Aptos Narrow" w:eastAsia="Alegreya" w:hAnsi="Aptos Narrow" w:cs="Alegreya"/>
          <w:sz w:val="18"/>
          <w:szCs w:val="18"/>
        </w:rPr>
        <w:t xml:space="preserve">. </w:t>
      </w:r>
      <w:hyperlink r:id="rId82">
        <w:r w:rsidR="00AD7388" w:rsidRPr="009F0DEE">
          <w:rPr>
            <w:rFonts w:ascii="Aptos Narrow" w:eastAsia="Alegreya" w:hAnsi="Aptos Narrow" w:cs="Alegreya"/>
            <w:color w:val="1155CC"/>
            <w:sz w:val="18"/>
            <w:szCs w:val="18"/>
            <w:u w:val="single"/>
          </w:rPr>
          <w:t>https://doi.org/10.1155/2021/8403024</w:t>
        </w:r>
      </w:hyperlink>
      <w:r w:rsidRPr="009F0DEE">
        <w:rPr>
          <w:rFonts w:ascii="Aptos Narrow" w:eastAsia="Alegreya" w:hAnsi="Aptos Narrow" w:cs="Alegreya"/>
          <w:sz w:val="18"/>
          <w:szCs w:val="18"/>
        </w:rPr>
        <w:t xml:space="preserve"> </w:t>
      </w:r>
    </w:p>
    <w:p w14:paraId="1C4E8B26" w14:textId="77777777" w:rsidR="007773C2" w:rsidRPr="009F0DEE" w:rsidRDefault="00B83410" w:rsidP="007773C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Sugimura, K., Gmelin, J. H., van der Gaag, M. A., Kunnen, E. S. (2022). Exploring exploration: Identity exploration in real-time interactions among </w:t>
      </w:r>
    </w:p>
    <w:p w14:paraId="0000013D" w14:textId="6FFEC814" w:rsidR="00AD7388" w:rsidRPr="009F0DEE" w:rsidRDefault="00B83410" w:rsidP="007773C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peers. </w:t>
      </w:r>
      <w:r w:rsidRPr="009F0DEE">
        <w:rPr>
          <w:rFonts w:ascii="Aptos Narrow" w:eastAsia="Alegreya" w:hAnsi="Aptos Narrow" w:cs="Alegreya"/>
          <w:i/>
          <w:color w:val="000000"/>
          <w:sz w:val="18"/>
          <w:szCs w:val="18"/>
        </w:rPr>
        <w:t>Identity, 22</w:t>
      </w:r>
      <w:r w:rsidRPr="009F0DEE">
        <w:rPr>
          <w:rFonts w:ascii="Aptos Narrow" w:eastAsia="Alegreya" w:hAnsi="Aptos Narrow" w:cs="Alegreya"/>
          <w:color w:val="000000"/>
          <w:sz w:val="18"/>
          <w:szCs w:val="18"/>
        </w:rPr>
        <w:t xml:space="preserve">(1), 17-34. </w:t>
      </w:r>
      <w:hyperlink r:id="rId83" w:history="1">
        <w:r w:rsidR="007773C2" w:rsidRPr="009F0DEE">
          <w:rPr>
            <w:rStyle w:val="Hyperlink"/>
            <w:rFonts w:ascii="Aptos Narrow" w:eastAsia="Alegreya" w:hAnsi="Aptos Narrow" w:cs="Alegreya"/>
            <w:sz w:val="18"/>
            <w:szCs w:val="18"/>
          </w:rPr>
          <w:t>https://doi.org/10.1080/15283488.2021.1947819</w:t>
        </w:r>
      </w:hyperlink>
      <w:r w:rsidRPr="009F0DEE">
        <w:rPr>
          <w:rFonts w:ascii="Aptos Narrow" w:eastAsia="Alegreya" w:hAnsi="Aptos Narrow" w:cs="Alegreya"/>
          <w:color w:val="000000"/>
          <w:sz w:val="18"/>
          <w:szCs w:val="18"/>
        </w:rPr>
        <w:t xml:space="preserve"> </w:t>
      </w:r>
    </w:p>
    <w:p w14:paraId="1784F387" w14:textId="77777777" w:rsidR="009C2A52" w:rsidRDefault="00B83410" w:rsidP="009C2A52">
      <w:pPr>
        <w:shd w:val="clear" w:color="auto" w:fill="FFFFFF"/>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Sullivan, L. S. &amp; Niker, F. (2025). Friendships need to go wrong in order to go right. </w:t>
      </w:r>
      <w:r w:rsidRPr="009F0DEE">
        <w:rPr>
          <w:rFonts w:ascii="Aptos Narrow" w:eastAsia="Alegreya" w:hAnsi="Aptos Narrow" w:cs="Alegreya"/>
          <w:i/>
          <w:color w:val="000000"/>
          <w:sz w:val="18"/>
          <w:szCs w:val="18"/>
        </w:rPr>
        <w:t>Journal of the American Philosophical Association,</w:t>
      </w:r>
      <w:r w:rsidR="00250E7B" w:rsidRPr="009F0DEE">
        <w:rPr>
          <w:rFonts w:ascii="Aptos Narrow" w:eastAsia="Alegreya" w:hAnsi="Aptos Narrow" w:cs="Alegreya"/>
          <w:i/>
          <w:color w:val="000000"/>
          <w:sz w:val="18"/>
          <w:szCs w:val="18"/>
        </w:rPr>
        <w:t xml:space="preserve"> 11</w:t>
      </w:r>
      <w:r w:rsidR="00250E7B" w:rsidRPr="009F0DEE">
        <w:rPr>
          <w:rFonts w:ascii="Aptos Narrow" w:eastAsia="Alegreya" w:hAnsi="Aptos Narrow" w:cs="Alegreya"/>
          <w:iCs/>
          <w:color w:val="000000"/>
          <w:sz w:val="18"/>
          <w:szCs w:val="18"/>
        </w:rPr>
        <w:t>(3),</w:t>
      </w:r>
      <w:r w:rsidRPr="009F0DEE">
        <w:rPr>
          <w:rFonts w:ascii="Aptos Narrow" w:eastAsia="Alegreya" w:hAnsi="Aptos Narrow" w:cs="Alegreya"/>
          <w:i/>
          <w:color w:val="000000"/>
          <w:sz w:val="18"/>
          <w:szCs w:val="18"/>
        </w:rPr>
        <w:t xml:space="preserve"> </w:t>
      </w:r>
      <w:r w:rsidRPr="009F0DEE">
        <w:rPr>
          <w:rFonts w:ascii="Aptos Narrow" w:eastAsia="Alegreya" w:hAnsi="Aptos Narrow" w:cs="Alegreya"/>
          <w:color w:val="000000"/>
          <w:sz w:val="18"/>
          <w:szCs w:val="18"/>
        </w:rPr>
        <w:t>542-</w:t>
      </w:r>
    </w:p>
    <w:p w14:paraId="0000013F" w14:textId="4F735B5E" w:rsidR="00AD7388" w:rsidRPr="009C2A52" w:rsidRDefault="00B83410" w:rsidP="009C2A52">
      <w:pPr>
        <w:shd w:val="clear" w:color="auto" w:fill="FFFFFF"/>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561. </w:t>
      </w:r>
      <w:hyperlink r:id="rId84">
        <w:r w:rsidR="00AD7388" w:rsidRPr="009F0DEE">
          <w:rPr>
            <w:rFonts w:ascii="Aptos Narrow" w:eastAsia="Alegreya" w:hAnsi="Aptos Narrow" w:cs="Alegreya"/>
            <w:color w:val="1155CC"/>
            <w:sz w:val="18"/>
            <w:szCs w:val="18"/>
            <w:u w:val="single"/>
          </w:rPr>
          <w:t>https://doi.org/10.1017/apa.2025.4</w:t>
        </w:r>
      </w:hyperlink>
      <w:r w:rsidRPr="009F0DEE">
        <w:rPr>
          <w:rFonts w:ascii="Aptos Narrow" w:eastAsia="Alegreya" w:hAnsi="Aptos Narrow" w:cs="Alegreya"/>
          <w:color w:val="000000"/>
          <w:sz w:val="18"/>
          <w:szCs w:val="18"/>
        </w:rPr>
        <w:t> </w:t>
      </w:r>
    </w:p>
    <w:p w14:paraId="28D37E58" w14:textId="77777777" w:rsidR="007773C2" w:rsidRPr="009F0DEE" w:rsidRDefault="00B83410" w:rsidP="007773C2">
      <w:pPr>
        <w:shd w:val="clear" w:color="auto" w:fill="FFFFFF"/>
        <w:spacing w:after="0" w:line="240" w:lineRule="auto"/>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 xml:space="preserve">Šutić, L., van Roekel, E., Novak, M. (2025). Quality of friendships and well-being in adolescence: Daily life study. </w:t>
      </w:r>
      <w:r w:rsidRPr="009F0DEE">
        <w:rPr>
          <w:rFonts w:ascii="Aptos Narrow" w:eastAsia="Alegreya" w:hAnsi="Aptos Narrow" w:cs="Alegreya"/>
          <w:i/>
          <w:color w:val="000000"/>
          <w:sz w:val="18"/>
          <w:szCs w:val="18"/>
        </w:rPr>
        <w:t>International Journal of</w:t>
      </w:r>
    </w:p>
    <w:p w14:paraId="00000142" w14:textId="52C69F20" w:rsidR="00AD7388" w:rsidRPr="009F0DEE" w:rsidRDefault="007773C2"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color w:val="000000"/>
          <w:sz w:val="18"/>
          <w:szCs w:val="18"/>
        </w:rPr>
        <w:t xml:space="preserve"> Adolescence and Youth, 30</w:t>
      </w:r>
      <w:r w:rsidRPr="009F0DEE">
        <w:rPr>
          <w:rFonts w:ascii="Aptos Narrow" w:eastAsia="Alegreya" w:hAnsi="Aptos Narrow" w:cs="Alegreya"/>
          <w:color w:val="000000"/>
          <w:sz w:val="18"/>
          <w:szCs w:val="18"/>
        </w:rPr>
        <w:t>(1). </w:t>
      </w:r>
      <w:hyperlink r:id="rId85" w:history="1">
        <w:r w:rsidRPr="009F0DEE">
          <w:rPr>
            <w:rStyle w:val="Hyperlink"/>
            <w:rFonts w:ascii="Aptos Narrow" w:eastAsia="Alegreya" w:hAnsi="Aptos Narrow" w:cs="Alegreya"/>
            <w:sz w:val="18"/>
            <w:szCs w:val="18"/>
          </w:rPr>
          <w:t>https://doi.org/10.1080/02673843.2025.2467112</w:t>
        </w:r>
      </w:hyperlink>
      <w:r w:rsidRPr="009F0DEE">
        <w:rPr>
          <w:rFonts w:ascii="Aptos Narrow" w:eastAsia="Alegreya" w:hAnsi="Aptos Narrow" w:cs="Alegreya"/>
          <w:color w:val="000000"/>
          <w:sz w:val="18"/>
          <w:szCs w:val="18"/>
        </w:rPr>
        <w:t> </w:t>
      </w:r>
    </w:p>
    <w:p w14:paraId="384B0E9B" w14:textId="77777777" w:rsidR="007773C2" w:rsidRPr="009F0DEE" w:rsidRDefault="00B83410" w:rsidP="007773C2">
      <w:pPr>
        <w:shd w:val="clear" w:color="auto" w:fill="FFFFFF"/>
        <w:spacing w:after="0" w:line="240" w:lineRule="auto"/>
        <w:rPr>
          <w:rFonts w:ascii="Aptos Narrow" w:eastAsia="Alegreya" w:hAnsi="Aptos Narrow" w:cs="Alegreya"/>
          <w:i/>
          <w:color w:val="000000"/>
          <w:sz w:val="18"/>
          <w:szCs w:val="18"/>
        </w:rPr>
      </w:pPr>
      <w:r w:rsidRPr="009F0DEE">
        <w:rPr>
          <w:rFonts w:ascii="Aptos Narrow" w:eastAsia="Alegreya" w:hAnsi="Aptos Narrow" w:cs="Alegreya"/>
          <w:color w:val="000000"/>
          <w:sz w:val="18"/>
          <w:szCs w:val="18"/>
        </w:rPr>
        <w:t>Tahir, Z., &amp; Quratulain, A. (2024). Perceived parenting styles, emotional intelligence and conflict resolution styles among young adults. </w:t>
      </w:r>
      <w:r w:rsidRPr="009F0DEE">
        <w:rPr>
          <w:rFonts w:ascii="Aptos Narrow" w:eastAsia="Alegreya" w:hAnsi="Aptos Narrow" w:cs="Alegreya"/>
          <w:i/>
          <w:color w:val="000000"/>
          <w:sz w:val="18"/>
          <w:szCs w:val="18"/>
        </w:rPr>
        <w:t xml:space="preserve">International </w:t>
      </w:r>
    </w:p>
    <w:p w14:paraId="00000145" w14:textId="61814BF0" w:rsidR="00AD7388" w:rsidRPr="009F0DEE" w:rsidRDefault="00B83410" w:rsidP="007773C2">
      <w:pPr>
        <w:shd w:val="clear" w:color="auto" w:fill="FFFFFF"/>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color w:val="000000"/>
          <w:sz w:val="18"/>
          <w:szCs w:val="18"/>
        </w:rPr>
        <w:t>Journal of Psychology</w:t>
      </w:r>
      <w:r w:rsidRPr="009F0DEE">
        <w:rPr>
          <w:rFonts w:ascii="Aptos Narrow" w:eastAsia="Alegreya" w:hAnsi="Aptos Narrow" w:cs="Alegreya"/>
          <w:color w:val="000000"/>
          <w:sz w:val="18"/>
          <w:szCs w:val="18"/>
        </w:rPr>
        <w:t>, </w:t>
      </w:r>
      <w:r w:rsidRPr="009F0DEE">
        <w:rPr>
          <w:rFonts w:ascii="Aptos Narrow" w:eastAsia="Alegreya" w:hAnsi="Aptos Narrow" w:cs="Alegreya"/>
          <w:i/>
          <w:color w:val="000000"/>
          <w:sz w:val="18"/>
          <w:szCs w:val="18"/>
        </w:rPr>
        <w:t>9</w:t>
      </w:r>
      <w:r w:rsidRPr="009F0DEE">
        <w:rPr>
          <w:rFonts w:ascii="Aptos Narrow" w:eastAsia="Alegreya" w:hAnsi="Aptos Narrow" w:cs="Alegreya"/>
          <w:color w:val="000000"/>
          <w:sz w:val="18"/>
          <w:szCs w:val="18"/>
        </w:rPr>
        <w:t>(5), 60–76. </w:t>
      </w:r>
      <w:hyperlink r:id="rId86" w:history="1">
        <w:r w:rsidR="007773C2" w:rsidRPr="009F0DEE">
          <w:rPr>
            <w:rStyle w:val="Hyperlink"/>
            <w:rFonts w:ascii="Aptos Narrow" w:eastAsia="Alegreya" w:hAnsi="Aptos Narrow" w:cs="Alegreya"/>
            <w:sz w:val="18"/>
            <w:szCs w:val="18"/>
          </w:rPr>
          <w:t>https://doi.org/10.47604/ijp.2976</w:t>
        </w:r>
      </w:hyperlink>
      <w:r w:rsidRPr="009F0DEE">
        <w:rPr>
          <w:rFonts w:ascii="Aptos Narrow" w:eastAsia="Alegreya" w:hAnsi="Aptos Narrow" w:cs="Alegreya"/>
          <w:color w:val="000000"/>
          <w:sz w:val="18"/>
          <w:szCs w:val="18"/>
        </w:rPr>
        <w:t> </w:t>
      </w:r>
    </w:p>
    <w:p w14:paraId="777F3966" w14:textId="77777777" w:rsidR="007773C2" w:rsidRPr="009F0DEE" w:rsidRDefault="00B83410" w:rsidP="007773C2">
      <w:pPr>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Teer, P. (2021). The role of informal networks in the lives of young people transitioning from care: A review of the</w:t>
      </w:r>
      <w:r w:rsidR="007773C2" w:rsidRPr="009F0DEE">
        <w:rPr>
          <w:rFonts w:ascii="Aptos Narrow" w:eastAsia="Alegreya" w:hAnsi="Aptos Narrow" w:cs="Alegreya"/>
          <w:sz w:val="18"/>
          <w:szCs w:val="18"/>
        </w:rPr>
        <w:t xml:space="preserve"> </w:t>
      </w:r>
      <w:r w:rsidRPr="009F0DEE">
        <w:rPr>
          <w:rFonts w:ascii="Aptos Narrow" w:eastAsia="Alegreya" w:hAnsi="Aptos Narrow" w:cs="Alegreya"/>
          <w:sz w:val="18"/>
          <w:szCs w:val="18"/>
        </w:rPr>
        <w:t xml:space="preserve">literature. </w:t>
      </w:r>
      <w:r w:rsidRPr="009F0DEE">
        <w:rPr>
          <w:rFonts w:ascii="Aptos Narrow" w:eastAsia="Alegreya" w:hAnsi="Aptos Narrow" w:cs="Alegreya"/>
          <w:i/>
          <w:sz w:val="18"/>
          <w:szCs w:val="18"/>
        </w:rPr>
        <w:t xml:space="preserve">Scottish Journal of </w:t>
      </w:r>
    </w:p>
    <w:p w14:paraId="00000147" w14:textId="5F450FE2" w:rsidR="00AD7388" w:rsidRPr="009F0DEE" w:rsidRDefault="00B83410" w:rsidP="007773C2">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Residential Child Care, 20,</w:t>
      </w:r>
      <w:r w:rsidRPr="009F0DEE">
        <w:rPr>
          <w:rFonts w:ascii="Aptos Narrow" w:eastAsia="Alegreya" w:hAnsi="Aptos Narrow" w:cs="Alegreya"/>
          <w:sz w:val="18"/>
          <w:szCs w:val="18"/>
        </w:rPr>
        <w:t xml:space="preserve"> 1-21. </w:t>
      </w:r>
    </w:p>
    <w:p w14:paraId="5AD83301" w14:textId="77777777" w:rsidR="007773C2" w:rsidRPr="009F0DEE" w:rsidRDefault="00B83410" w:rsidP="007773C2">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Tomova, L., Andrews, J. L., Blakemore, S. (2021). The importance of belonging and the avoidance of social risk taking in adolescence.</w:t>
      </w:r>
      <w:r w:rsidR="007773C2" w:rsidRPr="009F0DEE">
        <w:rPr>
          <w:rFonts w:ascii="Aptos Narrow" w:eastAsia="Alegreya" w:hAnsi="Aptos Narrow" w:cs="Alegreya"/>
          <w:color w:val="000000"/>
          <w:sz w:val="18"/>
          <w:szCs w:val="18"/>
        </w:rPr>
        <w:t xml:space="preserve"> </w:t>
      </w:r>
    </w:p>
    <w:p w14:paraId="00000149" w14:textId="35961CB6" w:rsidR="00AD7388" w:rsidRPr="009F0DEE" w:rsidRDefault="00B83410" w:rsidP="007773C2">
      <w:pPr>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i/>
          <w:color w:val="000000"/>
          <w:sz w:val="18"/>
          <w:szCs w:val="18"/>
        </w:rPr>
        <w:t>Developmental Review, 61</w:t>
      </w:r>
      <w:r w:rsidRPr="009F0DEE">
        <w:rPr>
          <w:rFonts w:ascii="Aptos Narrow" w:eastAsia="Alegreya" w:hAnsi="Aptos Narrow" w:cs="Alegreya"/>
          <w:color w:val="000000"/>
          <w:sz w:val="18"/>
          <w:szCs w:val="18"/>
        </w:rPr>
        <w:t xml:space="preserve">. </w:t>
      </w:r>
      <w:hyperlink r:id="rId87">
        <w:r w:rsidR="00AD7388" w:rsidRPr="009F0DEE">
          <w:rPr>
            <w:rFonts w:ascii="Aptos Narrow" w:eastAsia="Alegreya" w:hAnsi="Aptos Narrow" w:cs="Alegreya"/>
            <w:color w:val="467886"/>
            <w:sz w:val="18"/>
            <w:szCs w:val="18"/>
            <w:u w:val="single"/>
          </w:rPr>
          <w:t>https://doi.org/10.1016/j.dr.2021.100981</w:t>
        </w:r>
      </w:hyperlink>
      <w:r w:rsidRPr="009F0DEE">
        <w:rPr>
          <w:rFonts w:ascii="Aptos Narrow" w:eastAsia="Alegreya" w:hAnsi="Aptos Narrow" w:cs="Alegreya"/>
          <w:color w:val="000000"/>
          <w:sz w:val="18"/>
          <w:szCs w:val="18"/>
        </w:rPr>
        <w:t xml:space="preserve"> </w:t>
      </w:r>
    </w:p>
    <w:p w14:paraId="6468CBDD" w14:textId="77777777" w:rsidR="007773C2" w:rsidRPr="009F0DEE" w:rsidRDefault="00B83410" w:rsidP="007773C2">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Tzouvara, V., Kupdere, P., Wilson, K., Matthews, L., Simpson, A., &amp; Foye, U. (2023). Adverse childhood experiences, mental health, and social </w:t>
      </w:r>
    </w:p>
    <w:p w14:paraId="0000014B" w14:textId="5CEF53A5" w:rsidR="00AD7388" w:rsidRPr="009F0DEE" w:rsidRDefault="00B83410" w:rsidP="007773C2">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functioning: A scoping review of the literature. </w:t>
      </w:r>
      <w:r w:rsidRPr="009F0DEE">
        <w:rPr>
          <w:rFonts w:ascii="Aptos Narrow" w:eastAsia="Alegreya" w:hAnsi="Aptos Narrow" w:cs="Alegreya"/>
          <w:i/>
          <w:sz w:val="18"/>
          <w:szCs w:val="18"/>
        </w:rPr>
        <w:t>Child Abuse &amp; Neglect, 139,</w:t>
      </w:r>
      <w:r w:rsidRPr="009F0DEE">
        <w:rPr>
          <w:rFonts w:ascii="Aptos Narrow" w:eastAsia="Alegreya" w:hAnsi="Aptos Narrow" w:cs="Alegreya"/>
          <w:sz w:val="18"/>
          <w:szCs w:val="18"/>
        </w:rPr>
        <w:t xml:space="preserve"> 1-57. </w:t>
      </w:r>
    </w:p>
    <w:p w14:paraId="0000014C" w14:textId="77777777" w:rsidR="00AD7388" w:rsidRPr="009F0DEE" w:rsidRDefault="00AD7388">
      <w:pPr>
        <w:spacing w:after="0" w:line="240" w:lineRule="auto"/>
        <w:ind w:firstLine="720"/>
        <w:rPr>
          <w:rFonts w:ascii="Aptos Narrow" w:eastAsia="Alegreya" w:hAnsi="Aptos Narrow" w:cs="Alegreya"/>
          <w:sz w:val="18"/>
          <w:szCs w:val="18"/>
        </w:rPr>
      </w:pPr>
      <w:hyperlink r:id="rId88">
        <w:r w:rsidRPr="009F0DEE">
          <w:rPr>
            <w:rFonts w:ascii="Aptos Narrow" w:eastAsia="Alegreya" w:hAnsi="Aptos Narrow" w:cs="Alegreya"/>
            <w:color w:val="1155CC"/>
            <w:sz w:val="18"/>
            <w:szCs w:val="18"/>
            <w:u w:val="single"/>
          </w:rPr>
          <w:t>https://doi.org/10.1016/j.chiabu.2023.106092</w:t>
        </w:r>
      </w:hyperlink>
      <w:r w:rsidRPr="009F0DEE">
        <w:rPr>
          <w:rFonts w:ascii="Aptos Narrow" w:eastAsia="Alegreya" w:hAnsi="Aptos Narrow" w:cs="Alegreya"/>
          <w:sz w:val="18"/>
          <w:szCs w:val="18"/>
        </w:rPr>
        <w:t xml:space="preserve"> </w:t>
      </w:r>
    </w:p>
    <w:p w14:paraId="6A77E2BE" w14:textId="77777777" w:rsidR="007773C2" w:rsidRPr="009F0DEE" w:rsidRDefault="00B83410" w:rsidP="007773C2">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lang w:val="pl-PL"/>
        </w:rPr>
        <w:t xml:space="preserve">Urone, C., Verdi, C., Iacono, C., Miano, P. (2024). </w:t>
      </w:r>
      <w:r w:rsidRPr="009F0DEE">
        <w:rPr>
          <w:rFonts w:ascii="Aptos Narrow" w:eastAsia="Alegreya" w:hAnsi="Aptos Narrow" w:cs="Alegreya"/>
          <w:color w:val="000000"/>
          <w:sz w:val="18"/>
          <w:szCs w:val="18"/>
        </w:rPr>
        <w:t>Dealing with overparenting: Developmental outcomes in emerging adults exposed to</w:t>
      </w:r>
    </w:p>
    <w:p w14:paraId="0000014F" w14:textId="61DCB0CF" w:rsidR="00AD7388" w:rsidRPr="009F0DEE" w:rsidRDefault="00B83410" w:rsidP="007773C2">
      <w:pPr>
        <w:spacing w:after="0" w:line="240" w:lineRule="auto"/>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 overprotection and overcontrol. </w:t>
      </w:r>
      <w:r w:rsidRPr="009F0DEE">
        <w:rPr>
          <w:rFonts w:ascii="Aptos Narrow" w:eastAsia="Alegreya" w:hAnsi="Aptos Narrow" w:cs="Alegreya"/>
          <w:i/>
          <w:color w:val="000000"/>
          <w:sz w:val="18"/>
          <w:szCs w:val="18"/>
        </w:rPr>
        <w:t>Trends in Psychology</w:t>
      </w:r>
      <w:r w:rsidRPr="009F0DEE">
        <w:rPr>
          <w:rFonts w:ascii="Aptos Narrow" w:eastAsia="Alegreya" w:hAnsi="Aptos Narrow" w:cs="Alegreya"/>
          <w:color w:val="000000"/>
          <w:sz w:val="18"/>
          <w:szCs w:val="18"/>
        </w:rPr>
        <w:t xml:space="preserve">. </w:t>
      </w:r>
      <w:hyperlink r:id="rId89" w:history="1">
        <w:r w:rsidR="007773C2" w:rsidRPr="009F0DEE">
          <w:rPr>
            <w:rStyle w:val="Hyperlink"/>
            <w:rFonts w:ascii="Aptos Narrow" w:eastAsia="Alegreya" w:hAnsi="Aptos Narrow" w:cs="Alegreya"/>
            <w:sz w:val="18"/>
            <w:szCs w:val="18"/>
          </w:rPr>
          <w:t>https://doi.org/10.1007/s43076-024-00407-x</w:t>
        </w:r>
      </w:hyperlink>
      <w:r w:rsidRPr="009F0DEE">
        <w:rPr>
          <w:rFonts w:ascii="Aptos Narrow" w:eastAsia="Alegreya" w:hAnsi="Aptos Narrow" w:cs="Alegreya"/>
          <w:color w:val="000000"/>
          <w:sz w:val="18"/>
          <w:szCs w:val="18"/>
        </w:rPr>
        <w:t xml:space="preserve"> </w:t>
      </w:r>
    </w:p>
    <w:p w14:paraId="00000150" w14:textId="77777777" w:rsidR="00AD7388" w:rsidRPr="009F0DEE" w:rsidRDefault="00B83410">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van Hoorn, J., Crone, E. A., van Leijenhorst</w:t>
      </w:r>
      <w:r w:rsidRPr="009F0DEE">
        <w:rPr>
          <w:rFonts w:ascii="Aptos Narrow" w:eastAsia="Alegreya" w:hAnsi="Aptos Narrow" w:cs="Alegreya"/>
          <w:sz w:val="18"/>
          <w:szCs w:val="18"/>
        </w:rPr>
        <w:t xml:space="preserve">, L. (2016). Hanging out with the right crowd: Peer influence on risk-taking behavior in adolescence. </w:t>
      </w:r>
    </w:p>
    <w:p w14:paraId="00000151" w14:textId="77777777" w:rsidR="00AD7388" w:rsidRPr="009F0DEE" w:rsidRDefault="00B83410">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Journal of Research on Adolescence, 27</w:t>
      </w:r>
      <w:r w:rsidRPr="009F0DEE">
        <w:rPr>
          <w:rFonts w:ascii="Aptos Narrow" w:eastAsia="Alegreya" w:hAnsi="Aptos Narrow" w:cs="Alegreya"/>
          <w:sz w:val="18"/>
          <w:szCs w:val="18"/>
        </w:rPr>
        <w:t xml:space="preserve">(1), 189-200. </w:t>
      </w:r>
      <w:hyperlink r:id="rId90">
        <w:r w:rsidR="00AD7388" w:rsidRPr="009F0DEE">
          <w:rPr>
            <w:rFonts w:ascii="Aptos Narrow" w:eastAsia="Alegreya" w:hAnsi="Aptos Narrow" w:cs="Alegreya"/>
            <w:color w:val="1155CC"/>
            <w:sz w:val="18"/>
            <w:szCs w:val="18"/>
            <w:u w:val="single"/>
          </w:rPr>
          <w:t>https://doi.org/10.1111/jora.12265</w:t>
        </w:r>
      </w:hyperlink>
      <w:r w:rsidRPr="009F0DEE">
        <w:rPr>
          <w:rFonts w:ascii="Aptos Narrow" w:eastAsia="Alegreya" w:hAnsi="Aptos Narrow" w:cs="Alegreya"/>
          <w:sz w:val="18"/>
          <w:szCs w:val="18"/>
        </w:rPr>
        <w:t xml:space="preserve"> </w:t>
      </w:r>
    </w:p>
    <w:p w14:paraId="04E87C20" w14:textId="77777777" w:rsidR="007773C2" w:rsidRPr="009F0DEE" w:rsidRDefault="00B83410" w:rsidP="007773C2">
      <w:pPr>
        <w:spacing w:after="0" w:line="240" w:lineRule="auto"/>
        <w:rPr>
          <w:rFonts w:ascii="Aptos Narrow" w:eastAsia="Alegreya" w:hAnsi="Aptos Narrow" w:cs="Alegreya"/>
          <w:i/>
          <w:sz w:val="18"/>
          <w:szCs w:val="18"/>
        </w:rPr>
      </w:pPr>
      <w:r w:rsidRPr="009F0DEE">
        <w:rPr>
          <w:rFonts w:ascii="Aptos Narrow" w:eastAsia="Alegreya" w:hAnsi="Aptos Narrow" w:cs="Alegreya"/>
          <w:sz w:val="18"/>
          <w:szCs w:val="18"/>
        </w:rPr>
        <w:t xml:space="preserve">van Hoorn, J., van Dijk, E., Meuwese, R., Rieffe, C., Crone, E. A. (2014). Peer influence on prosocial behavior in adolescence. </w:t>
      </w:r>
      <w:r w:rsidRPr="009F0DEE">
        <w:rPr>
          <w:rFonts w:ascii="Aptos Narrow" w:eastAsia="Alegreya" w:hAnsi="Aptos Narrow" w:cs="Alegreya"/>
          <w:i/>
          <w:sz w:val="18"/>
          <w:szCs w:val="18"/>
        </w:rPr>
        <w:t xml:space="preserve">Journal of Research on </w:t>
      </w:r>
    </w:p>
    <w:p w14:paraId="00000153" w14:textId="568D46F8" w:rsidR="00AD7388" w:rsidRPr="009F0DEE" w:rsidRDefault="00B83410" w:rsidP="007773C2">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i/>
          <w:sz w:val="18"/>
          <w:szCs w:val="18"/>
        </w:rPr>
        <w:t>Adolescence, 26</w:t>
      </w:r>
      <w:r w:rsidRPr="009F0DEE">
        <w:rPr>
          <w:rFonts w:ascii="Aptos Narrow" w:eastAsia="Alegreya" w:hAnsi="Aptos Narrow" w:cs="Alegreya"/>
          <w:sz w:val="18"/>
          <w:szCs w:val="18"/>
        </w:rPr>
        <w:t xml:space="preserve">(1), 90-100. </w:t>
      </w:r>
      <w:hyperlink r:id="rId91">
        <w:r w:rsidR="00AD7388" w:rsidRPr="009F0DEE">
          <w:rPr>
            <w:rFonts w:ascii="Aptos Narrow" w:eastAsia="Alegreya" w:hAnsi="Aptos Narrow" w:cs="Alegreya"/>
            <w:color w:val="1155CC"/>
            <w:sz w:val="18"/>
            <w:szCs w:val="18"/>
            <w:u w:val="single"/>
          </w:rPr>
          <w:t>https://doi.org/10.1111/jora.12173</w:t>
        </w:r>
      </w:hyperlink>
      <w:r w:rsidRPr="009F0DEE">
        <w:rPr>
          <w:rFonts w:ascii="Aptos Narrow" w:eastAsia="Alegreya" w:hAnsi="Aptos Narrow" w:cs="Alegreya"/>
          <w:sz w:val="18"/>
          <w:szCs w:val="18"/>
        </w:rPr>
        <w:t xml:space="preserve"> </w:t>
      </w:r>
    </w:p>
    <w:p w14:paraId="6441C8D8" w14:textId="77777777" w:rsidR="007773C2" w:rsidRPr="009F0DEE" w:rsidRDefault="00B83410" w:rsidP="007773C2">
      <w:pPr>
        <w:spacing w:after="0" w:line="240" w:lineRule="auto"/>
        <w:rPr>
          <w:rFonts w:ascii="Aptos Narrow" w:eastAsia="Alegreya" w:hAnsi="Aptos Narrow" w:cs="Alegreya"/>
          <w:sz w:val="18"/>
          <w:szCs w:val="18"/>
        </w:rPr>
      </w:pPr>
      <w:r w:rsidRPr="009F0DEE">
        <w:rPr>
          <w:rFonts w:ascii="Aptos Narrow" w:eastAsia="Alegreya" w:hAnsi="Aptos Narrow" w:cs="Alegreya"/>
          <w:sz w:val="18"/>
          <w:szCs w:val="18"/>
        </w:rPr>
        <w:t xml:space="preserve">Vitaro, F., Boivin, M., Bukowski, W. M. (2009). The role of friendship in child and adolescent psychosocial development. In K. H. Rubin, W. M. </w:t>
      </w:r>
    </w:p>
    <w:p w14:paraId="00000156" w14:textId="4AC2E601" w:rsidR="00AD7388" w:rsidRPr="009F0DEE" w:rsidRDefault="00B83410" w:rsidP="007773C2">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Bukowski, &amp; B. Laursen (Eds.), </w:t>
      </w:r>
      <w:r w:rsidRPr="009F0DEE">
        <w:rPr>
          <w:rFonts w:ascii="Aptos Narrow" w:eastAsia="Alegreya" w:hAnsi="Aptos Narrow" w:cs="Alegreya"/>
          <w:i/>
          <w:sz w:val="18"/>
          <w:szCs w:val="18"/>
        </w:rPr>
        <w:t>Handbook of peer interactions, relationships, and groups</w:t>
      </w:r>
      <w:r w:rsidRPr="009F0DEE">
        <w:rPr>
          <w:rFonts w:ascii="Aptos Narrow" w:eastAsia="Alegreya" w:hAnsi="Aptos Narrow" w:cs="Alegreya"/>
          <w:sz w:val="18"/>
          <w:szCs w:val="18"/>
        </w:rPr>
        <w:t xml:space="preserve"> (pp. 568–585). The Guilford Press.</w:t>
      </w:r>
    </w:p>
    <w:p w14:paraId="22CD283D" w14:textId="77777777" w:rsidR="007773C2" w:rsidRPr="009F0DEE" w:rsidRDefault="00B83410" w:rsidP="007773C2">
      <w:pPr>
        <w:spacing w:after="0" w:line="240" w:lineRule="auto"/>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Wagner, L. (2018). Good character is what we look for in a friend: Character strengths are positively related to peer acceptance and friendship </w:t>
      </w:r>
    </w:p>
    <w:p w14:paraId="00000159" w14:textId="1AFE248E" w:rsidR="00AD7388" w:rsidRPr="009F0DEE" w:rsidRDefault="00B83410" w:rsidP="007773C2">
      <w:pPr>
        <w:spacing w:after="0" w:line="240" w:lineRule="auto"/>
        <w:ind w:firstLine="720"/>
        <w:rPr>
          <w:rFonts w:ascii="Aptos Narrow" w:eastAsia="Alegreya" w:hAnsi="Aptos Narrow" w:cs="Alegreya"/>
          <w:sz w:val="18"/>
          <w:szCs w:val="18"/>
        </w:rPr>
      </w:pPr>
      <w:r w:rsidRPr="009F0DEE">
        <w:rPr>
          <w:rFonts w:ascii="Aptos Narrow" w:eastAsia="Alegreya" w:hAnsi="Aptos Narrow" w:cs="Alegreya"/>
          <w:color w:val="000000"/>
          <w:sz w:val="18"/>
          <w:szCs w:val="18"/>
        </w:rPr>
        <w:t xml:space="preserve">quality in early adolescents. </w:t>
      </w:r>
      <w:r w:rsidRPr="009F0DEE">
        <w:rPr>
          <w:rFonts w:ascii="Aptos Narrow" w:eastAsia="Alegreya" w:hAnsi="Aptos Narrow" w:cs="Alegreya"/>
          <w:i/>
          <w:color w:val="000000"/>
          <w:sz w:val="18"/>
          <w:szCs w:val="18"/>
        </w:rPr>
        <w:t>The Journal of Early Adolescence, 39</w:t>
      </w:r>
      <w:r w:rsidRPr="009F0DEE">
        <w:rPr>
          <w:rFonts w:ascii="Aptos Narrow" w:eastAsia="Alegreya" w:hAnsi="Aptos Narrow" w:cs="Alegreya"/>
          <w:color w:val="000000"/>
          <w:sz w:val="18"/>
          <w:szCs w:val="18"/>
        </w:rPr>
        <w:t xml:space="preserve">(6). </w:t>
      </w:r>
      <w:hyperlink r:id="rId92">
        <w:r w:rsidR="00AD7388" w:rsidRPr="009F0DEE">
          <w:rPr>
            <w:rFonts w:ascii="Aptos Narrow" w:eastAsia="Alegreya" w:hAnsi="Aptos Narrow" w:cs="Alegreya"/>
            <w:color w:val="467886"/>
            <w:sz w:val="18"/>
            <w:szCs w:val="18"/>
            <w:u w:val="single"/>
          </w:rPr>
          <w:t>https://doi.org/10.1177/0272431618791286</w:t>
        </w:r>
      </w:hyperlink>
    </w:p>
    <w:p w14:paraId="0000015A" w14:textId="77777777" w:rsidR="00AD7388" w:rsidRPr="009F0DEE" w:rsidRDefault="00B83410">
      <w:pPr>
        <w:spacing w:after="0"/>
        <w:rPr>
          <w:rFonts w:ascii="Aptos Narrow" w:eastAsia="Alegreya" w:hAnsi="Aptos Narrow" w:cs="Alegreya"/>
          <w:i/>
          <w:sz w:val="18"/>
          <w:szCs w:val="18"/>
        </w:rPr>
      </w:pPr>
      <w:r w:rsidRPr="009F0DEE">
        <w:rPr>
          <w:rFonts w:ascii="Aptos Narrow" w:eastAsia="Alegreya" w:hAnsi="Aptos Narrow" w:cs="Alegreya"/>
          <w:sz w:val="18"/>
          <w:szCs w:val="18"/>
        </w:rPr>
        <w:t xml:space="preserve">Wang, J., &amp; Touré-Tillery, M. (2024). Unclearly immoral: Low self-concept clarity increases moral disengagement. </w:t>
      </w:r>
      <w:r w:rsidRPr="009F0DEE">
        <w:rPr>
          <w:rFonts w:ascii="Aptos Narrow" w:eastAsia="Alegreya" w:hAnsi="Aptos Narrow" w:cs="Alegreya"/>
          <w:i/>
          <w:sz w:val="18"/>
          <w:szCs w:val="18"/>
        </w:rPr>
        <w:t xml:space="preserve">Journal of Experimental </w:t>
      </w:r>
    </w:p>
    <w:p w14:paraId="0000015B" w14:textId="77777777" w:rsidR="00AD7388" w:rsidRPr="009F0DEE" w:rsidRDefault="00B83410">
      <w:pPr>
        <w:spacing w:after="0"/>
        <w:ind w:firstLine="720"/>
        <w:rPr>
          <w:rFonts w:ascii="Aptos Narrow" w:eastAsia="Alegreya" w:hAnsi="Aptos Narrow" w:cs="Alegreya"/>
          <w:sz w:val="18"/>
          <w:szCs w:val="18"/>
        </w:rPr>
      </w:pPr>
      <w:r w:rsidRPr="009F0DEE">
        <w:rPr>
          <w:rFonts w:ascii="Aptos Narrow" w:eastAsia="Alegreya" w:hAnsi="Aptos Narrow" w:cs="Alegreya"/>
          <w:i/>
          <w:sz w:val="18"/>
          <w:szCs w:val="18"/>
        </w:rPr>
        <w:lastRenderedPageBreak/>
        <w:t>Psychology: General, 153</w:t>
      </w:r>
      <w:r w:rsidRPr="009F0DEE">
        <w:rPr>
          <w:rFonts w:ascii="Aptos Narrow" w:eastAsia="Alegreya" w:hAnsi="Aptos Narrow" w:cs="Alegreya"/>
          <w:sz w:val="18"/>
          <w:szCs w:val="18"/>
        </w:rPr>
        <w:t xml:space="preserve">(12), 3143-3160. </w:t>
      </w:r>
      <w:hyperlink r:id="rId93">
        <w:r w:rsidR="00AD7388" w:rsidRPr="009F0DEE">
          <w:rPr>
            <w:rFonts w:ascii="Aptos Narrow" w:eastAsia="Alegreya" w:hAnsi="Aptos Narrow" w:cs="Alegreya"/>
            <w:color w:val="1155CC"/>
            <w:sz w:val="18"/>
            <w:szCs w:val="18"/>
            <w:u w:val="single"/>
          </w:rPr>
          <w:t>https://doi.org/10.1037/xge0001654</w:t>
        </w:r>
      </w:hyperlink>
      <w:r w:rsidRPr="009F0DEE">
        <w:rPr>
          <w:rFonts w:ascii="Aptos Narrow" w:eastAsia="Alegreya" w:hAnsi="Aptos Narrow" w:cs="Alegreya"/>
          <w:sz w:val="18"/>
          <w:szCs w:val="18"/>
        </w:rPr>
        <w:t xml:space="preserve"> </w:t>
      </w:r>
    </w:p>
    <w:p w14:paraId="27E7B6BF" w14:textId="77777777" w:rsidR="007773C2" w:rsidRPr="009F0DEE" w:rsidRDefault="00B83410" w:rsidP="007773C2">
      <w:pPr>
        <w:spacing w:after="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Wang, Y., Chen, M., Lee, J. H. (2019). Adolescents’ social norms across family, peer, and school settings: Linking social norm profiles to adolescent </w:t>
      </w:r>
    </w:p>
    <w:p w14:paraId="0000015E" w14:textId="364C4B0B" w:rsidR="00AD7388" w:rsidRPr="009F0DEE" w:rsidRDefault="00B83410" w:rsidP="007773C2">
      <w:pPr>
        <w:spacing w:after="0"/>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risky health </w:t>
      </w:r>
      <w:r w:rsidRPr="009F0DEE">
        <w:rPr>
          <w:rFonts w:ascii="Aptos Narrow" w:eastAsia="Alegreya" w:hAnsi="Aptos Narrow" w:cs="Alegreya"/>
          <w:color w:val="000000"/>
          <w:sz w:val="18"/>
          <w:szCs w:val="18"/>
        </w:rPr>
        <w:t xml:space="preserve">behaviors. </w:t>
      </w:r>
      <w:r w:rsidRPr="009F0DEE">
        <w:rPr>
          <w:rFonts w:ascii="Aptos Narrow" w:eastAsia="Alegreya" w:hAnsi="Aptos Narrow" w:cs="Alegreya"/>
          <w:i/>
          <w:color w:val="000000"/>
          <w:sz w:val="18"/>
          <w:szCs w:val="18"/>
        </w:rPr>
        <w:t>Journal of Youth &amp; Adolescence, 48</w:t>
      </w:r>
      <w:r w:rsidRPr="009F0DEE">
        <w:rPr>
          <w:rFonts w:ascii="Aptos Narrow" w:eastAsia="Alegreya" w:hAnsi="Aptos Narrow" w:cs="Alegreya"/>
          <w:color w:val="000000"/>
          <w:sz w:val="18"/>
          <w:szCs w:val="18"/>
        </w:rPr>
        <w:t xml:space="preserve">(5), 935-948. </w:t>
      </w:r>
      <w:hyperlink r:id="rId94">
        <w:r w:rsidR="00AD7388" w:rsidRPr="009F0DEE">
          <w:rPr>
            <w:rFonts w:ascii="Aptos Narrow" w:eastAsia="Alegreya" w:hAnsi="Aptos Narrow" w:cs="Alegreya"/>
            <w:color w:val="467886"/>
            <w:sz w:val="18"/>
            <w:szCs w:val="18"/>
            <w:u w:val="single"/>
          </w:rPr>
          <w:t>https://doi.org/10.1007/s10964-019-00984-6</w:t>
        </w:r>
      </w:hyperlink>
      <w:r w:rsidRPr="009F0DEE">
        <w:rPr>
          <w:rFonts w:ascii="Aptos Narrow" w:eastAsia="Alegreya" w:hAnsi="Aptos Narrow" w:cs="Alegreya"/>
          <w:color w:val="000000"/>
          <w:sz w:val="18"/>
          <w:szCs w:val="18"/>
        </w:rPr>
        <w:t xml:space="preserve"> </w:t>
      </w:r>
    </w:p>
    <w:p w14:paraId="32012D7D" w14:textId="77777777" w:rsidR="007773C2" w:rsidRPr="009F0DEE" w:rsidRDefault="00B83410" w:rsidP="007773C2">
      <w:pPr>
        <w:spacing w:after="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Waters, S., Lester, L., Cross, D. (2014). How does support from peers compare with support from adults as students transition to secondary</w:t>
      </w:r>
    </w:p>
    <w:p w14:paraId="00000161" w14:textId="7BC0E43F" w:rsidR="00AD7388" w:rsidRPr="009F0DEE" w:rsidRDefault="00B83410" w:rsidP="007773C2">
      <w:pPr>
        <w:spacing w:after="0"/>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 school? </w:t>
      </w:r>
      <w:r w:rsidRPr="009F0DEE">
        <w:rPr>
          <w:rFonts w:ascii="Aptos Narrow" w:eastAsia="Alegreya" w:hAnsi="Aptos Narrow" w:cs="Alegreya"/>
          <w:i/>
          <w:color w:val="000000"/>
          <w:sz w:val="18"/>
          <w:szCs w:val="18"/>
        </w:rPr>
        <w:t>Journal of Adolescent Health, 54</w:t>
      </w:r>
      <w:r w:rsidRPr="009F0DEE">
        <w:rPr>
          <w:rFonts w:ascii="Aptos Narrow" w:eastAsia="Alegreya" w:hAnsi="Aptos Narrow" w:cs="Alegreya"/>
          <w:color w:val="000000"/>
          <w:sz w:val="18"/>
          <w:szCs w:val="18"/>
        </w:rPr>
        <w:t xml:space="preserve">, 543-549. </w:t>
      </w:r>
      <w:hyperlink r:id="rId95" w:history="1">
        <w:r w:rsidR="007773C2" w:rsidRPr="009F0DEE">
          <w:rPr>
            <w:rStyle w:val="Hyperlink"/>
            <w:rFonts w:ascii="Aptos Narrow" w:eastAsia="Alegreya" w:hAnsi="Aptos Narrow" w:cs="Alegreya"/>
            <w:sz w:val="18"/>
            <w:szCs w:val="18"/>
          </w:rPr>
          <w:t>https://dx.doi.org/10.1016.j.jadohealth.2013.10.012</w:t>
        </w:r>
      </w:hyperlink>
      <w:r w:rsidRPr="009F0DEE">
        <w:rPr>
          <w:rFonts w:ascii="Aptos Narrow" w:eastAsia="Alegreya" w:hAnsi="Aptos Narrow" w:cs="Alegreya"/>
          <w:color w:val="000000"/>
          <w:sz w:val="18"/>
          <w:szCs w:val="18"/>
        </w:rPr>
        <w:t xml:space="preserve"> </w:t>
      </w:r>
    </w:p>
    <w:p w14:paraId="24A6B5FC" w14:textId="77777777" w:rsidR="007773C2" w:rsidRPr="009F0DEE" w:rsidRDefault="00B83410" w:rsidP="007773C2">
      <w:pPr>
        <w:spacing w:after="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Willoughby, T., Good, M., Adachi, P. J., Hamza, C., Tavernier, R. (2013). Examining the link between adolescent brain development and risk taking </w:t>
      </w:r>
    </w:p>
    <w:p w14:paraId="00000164" w14:textId="453BDD54" w:rsidR="00AD7388" w:rsidRPr="009F0DEE" w:rsidRDefault="00B83410" w:rsidP="007773C2">
      <w:pPr>
        <w:spacing w:after="0"/>
        <w:ind w:firstLine="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from a social-developmental perspective. </w:t>
      </w:r>
      <w:r w:rsidRPr="009F0DEE">
        <w:rPr>
          <w:rFonts w:ascii="Aptos Narrow" w:eastAsia="Alegreya" w:hAnsi="Aptos Narrow" w:cs="Alegreya"/>
          <w:i/>
          <w:color w:val="000000"/>
          <w:sz w:val="18"/>
          <w:szCs w:val="18"/>
        </w:rPr>
        <w:t>Brain and Cognition, 83</w:t>
      </w:r>
      <w:r w:rsidRPr="009F0DEE">
        <w:rPr>
          <w:rFonts w:ascii="Aptos Narrow" w:eastAsia="Alegreya" w:hAnsi="Aptos Narrow" w:cs="Alegreya"/>
          <w:color w:val="000000"/>
          <w:sz w:val="18"/>
          <w:szCs w:val="18"/>
        </w:rPr>
        <w:t xml:space="preserve">(3), 315-323. </w:t>
      </w:r>
      <w:hyperlink r:id="rId96">
        <w:r w:rsidR="00AD7388" w:rsidRPr="009F0DEE">
          <w:rPr>
            <w:rFonts w:ascii="Aptos Narrow" w:eastAsia="Alegreya" w:hAnsi="Aptos Narrow" w:cs="Alegreya"/>
            <w:color w:val="467886"/>
            <w:sz w:val="18"/>
            <w:szCs w:val="18"/>
            <w:u w:val="single"/>
          </w:rPr>
          <w:t>https://doi.org/10.1016/j.bandc.2013.09.008</w:t>
        </w:r>
      </w:hyperlink>
      <w:r w:rsidRPr="009F0DEE">
        <w:rPr>
          <w:rFonts w:ascii="Aptos Narrow" w:eastAsia="Alegreya" w:hAnsi="Aptos Narrow" w:cs="Alegreya"/>
          <w:color w:val="000000"/>
          <w:sz w:val="18"/>
          <w:szCs w:val="18"/>
        </w:rPr>
        <w:t xml:space="preserve"> </w:t>
      </w:r>
    </w:p>
    <w:p w14:paraId="579F6363" w14:textId="77777777" w:rsidR="007773C2" w:rsidRPr="009F0DEE" w:rsidRDefault="00B83410" w:rsidP="007773C2">
      <w:pPr>
        <w:spacing w:after="0"/>
        <w:rPr>
          <w:rFonts w:ascii="Aptos Narrow" w:eastAsia="Alegreya" w:hAnsi="Aptos Narrow" w:cs="Alegreya"/>
          <w:sz w:val="18"/>
          <w:szCs w:val="18"/>
        </w:rPr>
      </w:pPr>
      <w:r w:rsidRPr="009F0DEE">
        <w:rPr>
          <w:rFonts w:ascii="Aptos Narrow" w:eastAsia="Alegreya" w:hAnsi="Aptos Narrow" w:cs="Alegreya"/>
          <w:sz w:val="18"/>
          <w:szCs w:val="18"/>
        </w:rPr>
        <w:t xml:space="preserve">Zhang, J. &amp; Wang, E. (2025). Positive and negative risk-taking behaviors in adolescents: Distinct characteristics, interrelationships, and influencing </w:t>
      </w:r>
    </w:p>
    <w:p w14:paraId="00000167" w14:textId="43D4D941" w:rsidR="00AD7388" w:rsidRPr="009F0DEE" w:rsidRDefault="00B83410" w:rsidP="007773C2">
      <w:pPr>
        <w:spacing w:after="0"/>
        <w:ind w:firstLine="720"/>
        <w:rPr>
          <w:rFonts w:ascii="Aptos Narrow" w:eastAsia="Alegreya" w:hAnsi="Aptos Narrow" w:cs="Alegreya"/>
          <w:sz w:val="18"/>
          <w:szCs w:val="18"/>
        </w:rPr>
      </w:pPr>
      <w:r w:rsidRPr="009F0DEE">
        <w:rPr>
          <w:rFonts w:ascii="Aptos Narrow" w:eastAsia="Alegreya" w:hAnsi="Aptos Narrow" w:cs="Alegreya"/>
          <w:sz w:val="18"/>
          <w:szCs w:val="18"/>
        </w:rPr>
        <w:t xml:space="preserve">factors. </w:t>
      </w:r>
      <w:r w:rsidRPr="009F0DEE">
        <w:rPr>
          <w:rFonts w:ascii="Aptos Narrow" w:eastAsia="Alegreya" w:hAnsi="Aptos Narrow" w:cs="Alegreya"/>
          <w:i/>
          <w:sz w:val="18"/>
          <w:szCs w:val="18"/>
        </w:rPr>
        <w:t>World Journal of Psychiatry, 15</w:t>
      </w:r>
      <w:r w:rsidRPr="009F0DEE">
        <w:rPr>
          <w:rFonts w:ascii="Aptos Narrow" w:eastAsia="Alegreya" w:hAnsi="Aptos Narrow" w:cs="Alegreya"/>
          <w:sz w:val="18"/>
          <w:szCs w:val="18"/>
        </w:rPr>
        <w:t xml:space="preserve">(6). </w:t>
      </w:r>
      <w:hyperlink r:id="rId97">
        <w:r w:rsidR="00AD7388" w:rsidRPr="009F0DEE">
          <w:rPr>
            <w:rFonts w:ascii="Aptos Narrow" w:eastAsia="Alegreya" w:hAnsi="Aptos Narrow" w:cs="Alegreya"/>
            <w:color w:val="1155CC"/>
            <w:sz w:val="18"/>
            <w:szCs w:val="18"/>
            <w:u w:val="single"/>
          </w:rPr>
          <w:t>https://doi.org/10.5498/wjp.v15.i6.106944</w:t>
        </w:r>
      </w:hyperlink>
      <w:r w:rsidRPr="009F0DEE">
        <w:rPr>
          <w:rFonts w:ascii="Aptos Narrow" w:eastAsia="Alegreya" w:hAnsi="Aptos Narrow" w:cs="Alegreya"/>
          <w:sz w:val="18"/>
          <w:szCs w:val="18"/>
        </w:rPr>
        <w:t xml:space="preserve"> </w:t>
      </w:r>
    </w:p>
    <w:p w14:paraId="5498B9C0" w14:textId="77777777" w:rsidR="007773C2" w:rsidRPr="009F0DEE" w:rsidRDefault="00B83410" w:rsidP="007773C2">
      <w:pPr>
        <w:spacing w:after="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Zhou, H., Tian, C., Hong, L., Fan, Z., Chen, W. (2025). Relationship between parenting style and peer relationships during early adolescence: The </w:t>
      </w:r>
    </w:p>
    <w:p w14:paraId="0000016A" w14:textId="1EEFAE45" w:rsidR="00AD7388" w:rsidRPr="009F0DEE" w:rsidRDefault="00B83410" w:rsidP="007773C2">
      <w:pPr>
        <w:spacing w:after="0"/>
        <w:ind w:left="720"/>
        <w:rPr>
          <w:rFonts w:ascii="Aptos Narrow" w:eastAsia="Alegreya" w:hAnsi="Aptos Narrow" w:cs="Alegreya"/>
          <w:color w:val="000000"/>
          <w:sz w:val="18"/>
          <w:szCs w:val="18"/>
        </w:rPr>
      </w:pPr>
      <w:r w:rsidRPr="009F0DEE">
        <w:rPr>
          <w:rFonts w:ascii="Aptos Narrow" w:eastAsia="Alegreya" w:hAnsi="Aptos Narrow" w:cs="Alegreya"/>
          <w:color w:val="000000"/>
          <w:sz w:val="18"/>
          <w:szCs w:val="18"/>
        </w:rPr>
        <w:t xml:space="preserve">mediating role of parental mentalizing. </w:t>
      </w:r>
      <w:r w:rsidRPr="009F0DEE">
        <w:rPr>
          <w:rFonts w:ascii="Aptos Narrow" w:eastAsia="Alegreya" w:hAnsi="Aptos Narrow" w:cs="Alegreya"/>
          <w:i/>
          <w:color w:val="000000"/>
          <w:sz w:val="18"/>
          <w:szCs w:val="18"/>
        </w:rPr>
        <w:t>The Journal of Genetic Psychology, 186</w:t>
      </w:r>
      <w:r w:rsidRPr="009F0DEE">
        <w:rPr>
          <w:rFonts w:ascii="Aptos Narrow" w:eastAsia="Alegreya" w:hAnsi="Aptos Narrow" w:cs="Alegreya"/>
          <w:color w:val="000000"/>
          <w:sz w:val="18"/>
          <w:szCs w:val="18"/>
        </w:rPr>
        <w:t xml:space="preserve">(2), 144-161. </w:t>
      </w:r>
      <w:hyperlink r:id="rId98" w:history="1">
        <w:r w:rsidR="007773C2" w:rsidRPr="009F0DEE">
          <w:rPr>
            <w:rStyle w:val="Hyperlink"/>
            <w:rFonts w:ascii="Aptos Narrow" w:eastAsia="Alegreya" w:hAnsi="Aptos Narrow" w:cs="Alegreya"/>
            <w:sz w:val="18"/>
            <w:szCs w:val="18"/>
          </w:rPr>
          <w:t>https://doi.org/10.1080/00221325.2024.2413488</w:t>
        </w:r>
      </w:hyperlink>
      <w:r w:rsidRPr="009F0DEE">
        <w:rPr>
          <w:rFonts w:ascii="Aptos Narrow" w:eastAsia="Alegreya" w:hAnsi="Aptos Narrow" w:cs="Alegreya"/>
          <w:color w:val="000000"/>
          <w:sz w:val="18"/>
          <w:szCs w:val="18"/>
        </w:rPr>
        <w:t xml:space="preserve"> </w:t>
      </w:r>
    </w:p>
    <w:p w14:paraId="00000178" w14:textId="357E7117" w:rsidR="00AD7388" w:rsidRPr="00531640" w:rsidRDefault="00AD7388" w:rsidP="0041142C">
      <w:pPr>
        <w:spacing w:after="0"/>
        <w:rPr>
          <w:rFonts w:ascii="Aptos Narrow" w:eastAsia="Alegreya" w:hAnsi="Aptos Narrow" w:cs="Alegreya"/>
        </w:rPr>
      </w:pPr>
    </w:p>
    <w:sectPr w:rsidR="00AD7388" w:rsidRPr="00531640" w:rsidSect="009C2A52">
      <w:pgSz w:w="11906" w:h="16838"/>
      <w:pgMar w:top="720" w:right="720" w:bottom="720" w:left="720"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2318FC1-42C9-4446-81C1-E8495F488A08}"/>
    <w:embedBold r:id="rId2" w:fontKey="{5CAD8B7D-0048-4E51-9BA8-E8FC2AE8B607}"/>
    <w:embedItalic r:id="rId3" w:fontKey="{842BDBDE-8E7C-4145-8D12-B9722887E0AD}"/>
  </w:font>
  <w:font w:name="Play">
    <w:charset w:val="00"/>
    <w:family w:val="auto"/>
    <w:pitch w:val="default"/>
    <w:embedRegular r:id="rId4" w:fontKey="{37FDC4BC-5392-49B5-A146-6A166487077A}"/>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84F7632B-0E79-4E8C-86D1-BC56DBEC2F88}"/>
  </w:font>
  <w:font w:name="Aptos Narrow">
    <w:charset w:val="00"/>
    <w:family w:val="swiss"/>
    <w:pitch w:val="variable"/>
    <w:sig w:usb0="20000287" w:usb1="00000003" w:usb2="00000000" w:usb3="00000000" w:csb0="0000019F" w:csb1="00000000"/>
    <w:embedRegular r:id="rId6" w:fontKey="{148737FB-17CF-425E-B10C-9EE9E9894742}"/>
    <w:embedBold r:id="rId7" w:fontKey="{F358B046-463F-4D10-82E6-F8D31F984616}"/>
    <w:embedItalic r:id="rId8" w:fontKey="{BCE12003-C7FC-469C-A327-E20187B715A0}"/>
  </w:font>
  <w:font w:name="Alegreya">
    <w:charset w:val="00"/>
    <w:family w:val="auto"/>
    <w:pitch w:val="default"/>
    <w:embedRegular r:id="rId9" w:fontKey="{E2667282-2755-4DCE-85EB-A48C612DA1ED}"/>
    <w:embedBold r:id="rId10" w:fontKey="{80DD5E6D-3ECD-4F24-8F62-5F3577BE115E}"/>
    <w:embedItalic r:id="rId11" w:fontKey="{15FF3D65-9845-4BB1-976A-69621E3FF9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388"/>
    <w:rsid w:val="00023C7C"/>
    <w:rsid w:val="00026115"/>
    <w:rsid w:val="000368D1"/>
    <w:rsid w:val="0003705D"/>
    <w:rsid w:val="00047754"/>
    <w:rsid w:val="0005291E"/>
    <w:rsid w:val="00074F3D"/>
    <w:rsid w:val="0008559B"/>
    <w:rsid w:val="00085789"/>
    <w:rsid w:val="000875A8"/>
    <w:rsid w:val="000B4A02"/>
    <w:rsid w:val="000D59E7"/>
    <w:rsid w:val="000E03B7"/>
    <w:rsid w:val="000F0BB2"/>
    <w:rsid w:val="000F6FA6"/>
    <w:rsid w:val="00111E2F"/>
    <w:rsid w:val="001576C0"/>
    <w:rsid w:val="00197F22"/>
    <w:rsid w:val="001C7F1A"/>
    <w:rsid w:val="001E53AD"/>
    <w:rsid w:val="002057B8"/>
    <w:rsid w:val="00213B98"/>
    <w:rsid w:val="0021793A"/>
    <w:rsid w:val="00240DA5"/>
    <w:rsid w:val="00250E7B"/>
    <w:rsid w:val="00251B6D"/>
    <w:rsid w:val="00261189"/>
    <w:rsid w:val="002700D7"/>
    <w:rsid w:val="00303F3D"/>
    <w:rsid w:val="003163A7"/>
    <w:rsid w:val="00352019"/>
    <w:rsid w:val="00377305"/>
    <w:rsid w:val="00394189"/>
    <w:rsid w:val="00394363"/>
    <w:rsid w:val="003A3916"/>
    <w:rsid w:val="003A6B60"/>
    <w:rsid w:val="003A7DD1"/>
    <w:rsid w:val="003C44BA"/>
    <w:rsid w:val="003E47E5"/>
    <w:rsid w:val="0041142C"/>
    <w:rsid w:val="00412CCB"/>
    <w:rsid w:val="00414948"/>
    <w:rsid w:val="004156B2"/>
    <w:rsid w:val="00473F0E"/>
    <w:rsid w:val="00477FE6"/>
    <w:rsid w:val="004B1B54"/>
    <w:rsid w:val="004B221D"/>
    <w:rsid w:val="004B2C70"/>
    <w:rsid w:val="004B336A"/>
    <w:rsid w:val="004D7582"/>
    <w:rsid w:val="004D793B"/>
    <w:rsid w:val="004E0F6E"/>
    <w:rsid w:val="00504EAC"/>
    <w:rsid w:val="00521A38"/>
    <w:rsid w:val="005261B2"/>
    <w:rsid w:val="00531640"/>
    <w:rsid w:val="00556D86"/>
    <w:rsid w:val="00573CDD"/>
    <w:rsid w:val="00586A4E"/>
    <w:rsid w:val="00594EE1"/>
    <w:rsid w:val="005A7A94"/>
    <w:rsid w:val="005B0186"/>
    <w:rsid w:val="005D0548"/>
    <w:rsid w:val="0060143E"/>
    <w:rsid w:val="00601E08"/>
    <w:rsid w:val="00624510"/>
    <w:rsid w:val="00676EA2"/>
    <w:rsid w:val="00696C5D"/>
    <w:rsid w:val="006C1B4A"/>
    <w:rsid w:val="006D1C69"/>
    <w:rsid w:val="006E6D3B"/>
    <w:rsid w:val="00742843"/>
    <w:rsid w:val="00750CA1"/>
    <w:rsid w:val="00763289"/>
    <w:rsid w:val="007773C2"/>
    <w:rsid w:val="00777CCD"/>
    <w:rsid w:val="007A2FAE"/>
    <w:rsid w:val="007C3DD9"/>
    <w:rsid w:val="007D177B"/>
    <w:rsid w:val="007E0923"/>
    <w:rsid w:val="007E0A75"/>
    <w:rsid w:val="007F3C9F"/>
    <w:rsid w:val="00893FC4"/>
    <w:rsid w:val="008D0808"/>
    <w:rsid w:val="008E05E3"/>
    <w:rsid w:val="008F6AD2"/>
    <w:rsid w:val="00913E0A"/>
    <w:rsid w:val="00921E05"/>
    <w:rsid w:val="00943A66"/>
    <w:rsid w:val="00947B5D"/>
    <w:rsid w:val="009514DE"/>
    <w:rsid w:val="009618EE"/>
    <w:rsid w:val="00965B2C"/>
    <w:rsid w:val="009865E7"/>
    <w:rsid w:val="009B356B"/>
    <w:rsid w:val="009C0EE8"/>
    <w:rsid w:val="009C1E66"/>
    <w:rsid w:val="009C2A52"/>
    <w:rsid w:val="009E67EC"/>
    <w:rsid w:val="009F0DEE"/>
    <w:rsid w:val="00A208DD"/>
    <w:rsid w:val="00AC14CF"/>
    <w:rsid w:val="00AD7388"/>
    <w:rsid w:val="00AE4CE2"/>
    <w:rsid w:val="00AE5B89"/>
    <w:rsid w:val="00B15C83"/>
    <w:rsid w:val="00BB72F1"/>
    <w:rsid w:val="00BC3094"/>
    <w:rsid w:val="00BD242D"/>
    <w:rsid w:val="00BF2329"/>
    <w:rsid w:val="00BF7B90"/>
    <w:rsid w:val="00C11E42"/>
    <w:rsid w:val="00C32605"/>
    <w:rsid w:val="00C407AF"/>
    <w:rsid w:val="00C43009"/>
    <w:rsid w:val="00C56330"/>
    <w:rsid w:val="00C635A5"/>
    <w:rsid w:val="00C81B65"/>
    <w:rsid w:val="00CA6D8E"/>
    <w:rsid w:val="00D2005B"/>
    <w:rsid w:val="00D32458"/>
    <w:rsid w:val="00D51741"/>
    <w:rsid w:val="00D65261"/>
    <w:rsid w:val="00D65AB9"/>
    <w:rsid w:val="00D740EB"/>
    <w:rsid w:val="00D75C06"/>
    <w:rsid w:val="00D80C7F"/>
    <w:rsid w:val="00D84E2D"/>
    <w:rsid w:val="00DA329D"/>
    <w:rsid w:val="00DD5650"/>
    <w:rsid w:val="00E31596"/>
    <w:rsid w:val="00E35F8B"/>
    <w:rsid w:val="00E41B65"/>
    <w:rsid w:val="00E5267A"/>
    <w:rsid w:val="00E52DEE"/>
    <w:rsid w:val="00E60CCB"/>
    <w:rsid w:val="00E76056"/>
    <w:rsid w:val="00E90373"/>
    <w:rsid w:val="00EB1E9A"/>
    <w:rsid w:val="00EE7C1A"/>
    <w:rsid w:val="00F07299"/>
    <w:rsid w:val="00F165BC"/>
    <w:rsid w:val="00F47594"/>
    <w:rsid w:val="00F62D3C"/>
    <w:rsid w:val="00F65FCC"/>
    <w:rsid w:val="00F8416A"/>
    <w:rsid w:val="00F97232"/>
    <w:rsid w:val="00FD48F2"/>
    <w:rsid w:val="00FD6AB9"/>
    <w:rsid w:val="00FF0518"/>
    <w:rsid w:val="188B8211"/>
    <w:rsid w:val="3869239F"/>
    <w:rsid w:val="39B2A394"/>
    <w:rsid w:val="4701DFB3"/>
    <w:rsid w:val="6C607DCF"/>
    <w:rsid w:val="71FA4C85"/>
    <w:rsid w:val="76ED6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7BF29"/>
  <w15:docId w15:val="{C32BAFC3-6F22-4C39-96D9-373D47AD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844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4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4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6844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44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4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4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4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4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4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4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4AB"/>
    <w:rPr>
      <w:rFonts w:eastAsiaTheme="majorEastAsia" w:cstheme="majorBidi"/>
      <w:color w:val="272727" w:themeColor="text1" w:themeTint="D8"/>
    </w:rPr>
  </w:style>
  <w:style w:type="character" w:customStyle="1" w:styleId="TitleChar">
    <w:name w:val="Title Char"/>
    <w:basedOn w:val="DefaultParagraphFont"/>
    <w:link w:val="Title"/>
    <w:uiPriority w:val="10"/>
    <w:rsid w:val="006844A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844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4AB"/>
    <w:pPr>
      <w:spacing w:before="160"/>
      <w:jc w:val="center"/>
    </w:pPr>
    <w:rPr>
      <w:i/>
      <w:iCs/>
      <w:color w:val="404040" w:themeColor="text1" w:themeTint="BF"/>
    </w:rPr>
  </w:style>
  <w:style w:type="character" w:customStyle="1" w:styleId="QuoteChar">
    <w:name w:val="Quote Char"/>
    <w:basedOn w:val="DefaultParagraphFont"/>
    <w:link w:val="Quote"/>
    <w:uiPriority w:val="29"/>
    <w:rsid w:val="006844AB"/>
    <w:rPr>
      <w:i/>
      <w:iCs/>
      <w:color w:val="404040" w:themeColor="text1" w:themeTint="BF"/>
    </w:rPr>
  </w:style>
  <w:style w:type="paragraph" w:styleId="ListParagraph">
    <w:name w:val="List Paragraph"/>
    <w:basedOn w:val="Normal"/>
    <w:uiPriority w:val="34"/>
    <w:qFormat/>
    <w:rsid w:val="006844AB"/>
    <w:pPr>
      <w:ind w:left="720"/>
      <w:contextualSpacing/>
    </w:pPr>
  </w:style>
  <w:style w:type="character" w:styleId="IntenseEmphasis">
    <w:name w:val="Intense Emphasis"/>
    <w:basedOn w:val="DefaultParagraphFont"/>
    <w:uiPriority w:val="21"/>
    <w:qFormat/>
    <w:rsid w:val="006844AB"/>
    <w:rPr>
      <w:i/>
      <w:iCs/>
      <w:color w:val="0F4761" w:themeColor="accent1" w:themeShade="BF"/>
    </w:rPr>
  </w:style>
  <w:style w:type="paragraph" w:styleId="IntenseQuote">
    <w:name w:val="Intense Quote"/>
    <w:basedOn w:val="Normal"/>
    <w:next w:val="Normal"/>
    <w:link w:val="IntenseQuoteChar"/>
    <w:uiPriority w:val="30"/>
    <w:qFormat/>
    <w:rsid w:val="006844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4AB"/>
    <w:rPr>
      <w:i/>
      <w:iCs/>
      <w:color w:val="0F4761" w:themeColor="accent1" w:themeShade="BF"/>
    </w:rPr>
  </w:style>
  <w:style w:type="character" w:styleId="IntenseReference">
    <w:name w:val="Intense Reference"/>
    <w:basedOn w:val="DefaultParagraphFont"/>
    <w:uiPriority w:val="32"/>
    <w:qFormat/>
    <w:rsid w:val="006844AB"/>
    <w:rPr>
      <w:b/>
      <w:bCs/>
      <w:smallCaps/>
      <w:color w:val="0F4761" w:themeColor="accent1" w:themeShade="BF"/>
      <w:spacing w:val="5"/>
    </w:rPr>
  </w:style>
  <w:style w:type="character" w:styleId="CommentReference">
    <w:name w:val="annotation reference"/>
    <w:basedOn w:val="DefaultParagraphFont"/>
    <w:uiPriority w:val="99"/>
    <w:semiHidden/>
    <w:unhideWhenUsed/>
    <w:rsid w:val="00755C70"/>
    <w:rPr>
      <w:sz w:val="16"/>
      <w:szCs w:val="16"/>
    </w:rPr>
  </w:style>
  <w:style w:type="paragraph" w:styleId="CommentText">
    <w:name w:val="annotation text"/>
    <w:basedOn w:val="Normal"/>
    <w:link w:val="CommentTextChar"/>
    <w:uiPriority w:val="99"/>
    <w:unhideWhenUsed/>
    <w:rsid w:val="00755C70"/>
    <w:pPr>
      <w:spacing w:line="240" w:lineRule="auto"/>
    </w:pPr>
    <w:rPr>
      <w:sz w:val="20"/>
      <w:szCs w:val="20"/>
    </w:rPr>
  </w:style>
  <w:style w:type="character" w:customStyle="1" w:styleId="CommentTextChar">
    <w:name w:val="Comment Text Char"/>
    <w:basedOn w:val="DefaultParagraphFont"/>
    <w:link w:val="CommentText"/>
    <w:uiPriority w:val="99"/>
    <w:rsid w:val="00755C70"/>
    <w:rPr>
      <w:sz w:val="20"/>
      <w:szCs w:val="20"/>
    </w:rPr>
  </w:style>
  <w:style w:type="paragraph" w:styleId="CommentSubject">
    <w:name w:val="annotation subject"/>
    <w:basedOn w:val="CommentText"/>
    <w:next w:val="CommentText"/>
    <w:link w:val="CommentSubjectChar"/>
    <w:uiPriority w:val="99"/>
    <w:semiHidden/>
    <w:unhideWhenUsed/>
    <w:rsid w:val="00755C70"/>
    <w:rPr>
      <w:b/>
      <w:bCs/>
    </w:rPr>
  </w:style>
  <w:style w:type="character" w:customStyle="1" w:styleId="CommentSubjectChar">
    <w:name w:val="Comment Subject Char"/>
    <w:basedOn w:val="CommentTextChar"/>
    <w:link w:val="CommentSubject"/>
    <w:uiPriority w:val="99"/>
    <w:semiHidden/>
    <w:rsid w:val="00755C70"/>
    <w:rPr>
      <w:b/>
      <w:bCs/>
      <w:sz w:val="20"/>
      <w:szCs w:val="20"/>
    </w:rPr>
  </w:style>
  <w:style w:type="character" w:styleId="Hyperlink">
    <w:name w:val="Hyperlink"/>
    <w:basedOn w:val="DefaultParagraphFont"/>
    <w:uiPriority w:val="99"/>
    <w:unhideWhenUsed/>
    <w:rsid w:val="00F64F60"/>
    <w:rPr>
      <w:color w:val="467886" w:themeColor="hyperlink"/>
      <w:u w:val="single"/>
    </w:rPr>
  </w:style>
  <w:style w:type="character" w:styleId="UnresolvedMention">
    <w:name w:val="Unresolved Mention"/>
    <w:basedOn w:val="DefaultParagraphFont"/>
    <w:uiPriority w:val="99"/>
    <w:semiHidden/>
    <w:unhideWhenUsed/>
    <w:rsid w:val="00F64F60"/>
    <w:rPr>
      <w:color w:val="605E5C"/>
      <w:shd w:val="clear" w:color="auto" w:fill="E1DFDD"/>
    </w:rPr>
  </w:style>
  <w:style w:type="character" w:styleId="Emphasis">
    <w:name w:val="Emphasis"/>
    <w:basedOn w:val="DefaultParagraphFont"/>
    <w:uiPriority w:val="20"/>
    <w:qFormat/>
    <w:rsid w:val="00E70035"/>
    <w:rPr>
      <w:i/>
      <w:iCs/>
    </w:rPr>
  </w:style>
  <w:style w:type="paragraph" w:styleId="Subtitle">
    <w:name w:val="Subtitle"/>
    <w:basedOn w:val="Normal"/>
    <w:next w:val="Normal"/>
    <w:link w:val="SubtitleChar"/>
    <w:uiPriority w:val="11"/>
    <w:qFormat/>
    <w:rPr>
      <w:color w:val="595959"/>
      <w:sz w:val="28"/>
      <w:szCs w:val="28"/>
    </w:rPr>
  </w:style>
  <w:style w:type="character" w:styleId="FollowedHyperlink">
    <w:name w:val="FollowedHyperlink"/>
    <w:basedOn w:val="DefaultParagraphFont"/>
    <w:uiPriority w:val="99"/>
    <w:semiHidden/>
    <w:unhideWhenUsed/>
    <w:rsid w:val="000D59E7"/>
    <w:rPr>
      <w:color w:val="96607D" w:themeColor="followedHyperlink"/>
      <w:u w:val="single"/>
    </w:rPr>
  </w:style>
  <w:style w:type="paragraph" w:styleId="NoSpacing">
    <w:name w:val="No Spacing"/>
    <w:link w:val="NoSpacingChar"/>
    <w:uiPriority w:val="1"/>
    <w:qFormat/>
    <w:rsid w:val="009C2A52"/>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9C2A52"/>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711928">
      <w:bodyDiv w:val="1"/>
      <w:marLeft w:val="0"/>
      <w:marRight w:val="0"/>
      <w:marTop w:val="0"/>
      <w:marBottom w:val="0"/>
      <w:divBdr>
        <w:top w:val="none" w:sz="0" w:space="0" w:color="auto"/>
        <w:left w:val="none" w:sz="0" w:space="0" w:color="auto"/>
        <w:bottom w:val="none" w:sz="0" w:space="0" w:color="auto"/>
        <w:right w:val="none" w:sz="0" w:space="0" w:color="auto"/>
      </w:divBdr>
      <w:divsChild>
        <w:div w:id="592130659">
          <w:marLeft w:val="0"/>
          <w:marRight w:val="0"/>
          <w:marTop w:val="0"/>
          <w:marBottom w:val="0"/>
          <w:divBdr>
            <w:top w:val="none" w:sz="0" w:space="0" w:color="auto"/>
            <w:left w:val="none" w:sz="0" w:space="0" w:color="auto"/>
            <w:bottom w:val="none" w:sz="0" w:space="0" w:color="auto"/>
            <w:right w:val="none" w:sz="0" w:space="0" w:color="auto"/>
          </w:divBdr>
        </w:div>
        <w:div w:id="686178524">
          <w:marLeft w:val="0"/>
          <w:marRight w:val="0"/>
          <w:marTop w:val="0"/>
          <w:marBottom w:val="0"/>
          <w:divBdr>
            <w:top w:val="none" w:sz="0" w:space="0" w:color="auto"/>
            <w:left w:val="none" w:sz="0" w:space="0" w:color="auto"/>
            <w:bottom w:val="none" w:sz="0" w:space="0" w:color="auto"/>
            <w:right w:val="none" w:sz="0" w:space="0" w:color="auto"/>
          </w:divBdr>
        </w:div>
        <w:div w:id="1684435675">
          <w:marLeft w:val="0"/>
          <w:marRight w:val="0"/>
          <w:marTop w:val="0"/>
          <w:marBottom w:val="0"/>
          <w:divBdr>
            <w:top w:val="none" w:sz="0" w:space="0" w:color="auto"/>
            <w:left w:val="none" w:sz="0" w:space="0" w:color="auto"/>
            <w:bottom w:val="none" w:sz="0" w:space="0" w:color="auto"/>
            <w:right w:val="none" w:sz="0" w:space="0" w:color="auto"/>
          </w:divBdr>
        </w:div>
        <w:div w:id="1970742840">
          <w:marLeft w:val="0"/>
          <w:marRight w:val="0"/>
          <w:marTop w:val="0"/>
          <w:marBottom w:val="0"/>
          <w:divBdr>
            <w:top w:val="none" w:sz="0" w:space="0" w:color="auto"/>
            <w:left w:val="none" w:sz="0" w:space="0" w:color="auto"/>
            <w:bottom w:val="none" w:sz="0" w:space="0" w:color="auto"/>
            <w:right w:val="none" w:sz="0" w:space="0" w:color="auto"/>
          </w:divBdr>
        </w:div>
        <w:div w:id="1198350291">
          <w:marLeft w:val="0"/>
          <w:marRight w:val="0"/>
          <w:marTop w:val="0"/>
          <w:marBottom w:val="0"/>
          <w:divBdr>
            <w:top w:val="none" w:sz="0" w:space="0" w:color="auto"/>
            <w:left w:val="none" w:sz="0" w:space="0" w:color="auto"/>
            <w:bottom w:val="none" w:sz="0" w:space="0" w:color="auto"/>
            <w:right w:val="none" w:sz="0" w:space="0" w:color="auto"/>
          </w:divBdr>
        </w:div>
        <w:div w:id="1376272794">
          <w:marLeft w:val="0"/>
          <w:marRight w:val="0"/>
          <w:marTop w:val="0"/>
          <w:marBottom w:val="0"/>
          <w:divBdr>
            <w:top w:val="none" w:sz="0" w:space="0" w:color="auto"/>
            <w:left w:val="none" w:sz="0" w:space="0" w:color="auto"/>
            <w:bottom w:val="none" w:sz="0" w:space="0" w:color="auto"/>
            <w:right w:val="none" w:sz="0" w:space="0" w:color="auto"/>
          </w:divBdr>
        </w:div>
        <w:div w:id="1149396637">
          <w:marLeft w:val="0"/>
          <w:marRight w:val="0"/>
          <w:marTop w:val="0"/>
          <w:marBottom w:val="0"/>
          <w:divBdr>
            <w:top w:val="none" w:sz="0" w:space="0" w:color="auto"/>
            <w:left w:val="none" w:sz="0" w:space="0" w:color="auto"/>
            <w:bottom w:val="none" w:sz="0" w:space="0" w:color="auto"/>
            <w:right w:val="none" w:sz="0" w:space="0" w:color="auto"/>
          </w:divBdr>
        </w:div>
        <w:div w:id="691537906">
          <w:marLeft w:val="0"/>
          <w:marRight w:val="0"/>
          <w:marTop w:val="0"/>
          <w:marBottom w:val="0"/>
          <w:divBdr>
            <w:top w:val="none" w:sz="0" w:space="0" w:color="auto"/>
            <w:left w:val="none" w:sz="0" w:space="0" w:color="auto"/>
            <w:bottom w:val="none" w:sz="0" w:space="0" w:color="auto"/>
            <w:right w:val="none" w:sz="0" w:space="0" w:color="auto"/>
          </w:divBdr>
        </w:div>
        <w:div w:id="1657562358">
          <w:marLeft w:val="0"/>
          <w:marRight w:val="0"/>
          <w:marTop w:val="0"/>
          <w:marBottom w:val="0"/>
          <w:divBdr>
            <w:top w:val="none" w:sz="0" w:space="0" w:color="auto"/>
            <w:left w:val="none" w:sz="0" w:space="0" w:color="auto"/>
            <w:bottom w:val="none" w:sz="0" w:space="0" w:color="auto"/>
            <w:right w:val="none" w:sz="0" w:space="0" w:color="auto"/>
          </w:divBdr>
        </w:div>
        <w:div w:id="1747610751">
          <w:marLeft w:val="0"/>
          <w:marRight w:val="0"/>
          <w:marTop w:val="0"/>
          <w:marBottom w:val="0"/>
          <w:divBdr>
            <w:top w:val="none" w:sz="0" w:space="0" w:color="auto"/>
            <w:left w:val="none" w:sz="0" w:space="0" w:color="auto"/>
            <w:bottom w:val="none" w:sz="0" w:space="0" w:color="auto"/>
            <w:right w:val="none" w:sz="0" w:space="0" w:color="auto"/>
          </w:divBdr>
        </w:div>
        <w:div w:id="1642152078">
          <w:marLeft w:val="0"/>
          <w:marRight w:val="0"/>
          <w:marTop w:val="0"/>
          <w:marBottom w:val="0"/>
          <w:divBdr>
            <w:top w:val="none" w:sz="0" w:space="0" w:color="auto"/>
            <w:left w:val="none" w:sz="0" w:space="0" w:color="auto"/>
            <w:bottom w:val="none" w:sz="0" w:space="0" w:color="auto"/>
            <w:right w:val="none" w:sz="0" w:space="0" w:color="auto"/>
          </w:divBdr>
        </w:div>
        <w:div w:id="554315534">
          <w:marLeft w:val="0"/>
          <w:marRight w:val="0"/>
          <w:marTop w:val="0"/>
          <w:marBottom w:val="0"/>
          <w:divBdr>
            <w:top w:val="none" w:sz="0" w:space="0" w:color="auto"/>
            <w:left w:val="none" w:sz="0" w:space="0" w:color="auto"/>
            <w:bottom w:val="none" w:sz="0" w:space="0" w:color="auto"/>
            <w:right w:val="none" w:sz="0" w:space="0" w:color="auto"/>
          </w:divBdr>
        </w:div>
        <w:div w:id="787047641">
          <w:marLeft w:val="0"/>
          <w:marRight w:val="0"/>
          <w:marTop w:val="0"/>
          <w:marBottom w:val="0"/>
          <w:divBdr>
            <w:top w:val="none" w:sz="0" w:space="0" w:color="auto"/>
            <w:left w:val="none" w:sz="0" w:space="0" w:color="auto"/>
            <w:bottom w:val="none" w:sz="0" w:space="0" w:color="auto"/>
            <w:right w:val="none" w:sz="0" w:space="0" w:color="auto"/>
          </w:divBdr>
        </w:div>
        <w:div w:id="1950157067">
          <w:marLeft w:val="0"/>
          <w:marRight w:val="0"/>
          <w:marTop w:val="0"/>
          <w:marBottom w:val="0"/>
          <w:divBdr>
            <w:top w:val="none" w:sz="0" w:space="0" w:color="auto"/>
            <w:left w:val="none" w:sz="0" w:space="0" w:color="auto"/>
            <w:bottom w:val="none" w:sz="0" w:space="0" w:color="auto"/>
            <w:right w:val="none" w:sz="0" w:space="0" w:color="auto"/>
          </w:divBdr>
        </w:div>
        <w:div w:id="1747069239">
          <w:marLeft w:val="0"/>
          <w:marRight w:val="0"/>
          <w:marTop w:val="0"/>
          <w:marBottom w:val="0"/>
          <w:divBdr>
            <w:top w:val="none" w:sz="0" w:space="0" w:color="auto"/>
            <w:left w:val="none" w:sz="0" w:space="0" w:color="auto"/>
            <w:bottom w:val="none" w:sz="0" w:space="0" w:color="auto"/>
            <w:right w:val="none" w:sz="0" w:space="0" w:color="auto"/>
          </w:divBdr>
        </w:div>
      </w:divsChild>
    </w:div>
    <w:div w:id="2144276351">
      <w:bodyDiv w:val="1"/>
      <w:marLeft w:val="0"/>
      <w:marRight w:val="0"/>
      <w:marTop w:val="0"/>
      <w:marBottom w:val="0"/>
      <w:divBdr>
        <w:top w:val="none" w:sz="0" w:space="0" w:color="auto"/>
        <w:left w:val="none" w:sz="0" w:space="0" w:color="auto"/>
        <w:bottom w:val="none" w:sz="0" w:space="0" w:color="auto"/>
        <w:right w:val="none" w:sz="0" w:space="0" w:color="auto"/>
      </w:divBdr>
      <w:divsChild>
        <w:div w:id="1042484237">
          <w:marLeft w:val="0"/>
          <w:marRight w:val="0"/>
          <w:marTop w:val="0"/>
          <w:marBottom w:val="0"/>
          <w:divBdr>
            <w:top w:val="none" w:sz="0" w:space="0" w:color="auto"/>
            <w:left w:val="none" w:sz="0" w:space="0" w:color="auto"/>
            <w:bottom w:val="none" w:sz="0" w:space="0" w:color="auto"/>
            <w:right w:val="none" w:sz="0" w:space="0" w:color="auto"/>
          </w:divBdr>
        </w:div>
        <w:div w:id="1676298775">
          <w:marLeft w:val="0"/>
          <w:marRight w:val="0"/>
          <w:marTop w:val="0"/>
          <w:marBottom w:val="0"/>
          <w:divBdr>
            <w:top w:val="none" w:sz="0" w:space="0" w:color="auto"/>
            <w:left w:val="none" w:sz="0" w:space="0" w:color="auto"/>
            <w:bottom w:val="none" w:sz="0" w:space="0" w:color="auto"/>
            <w:right w:val="none" w:sz="0" w:space="0" w:color="auto"/>
          </w:divBdr>
        </w:div>
        <w:div w:id="2013681109">
          <w:marLeft w:val="0"/>
          <w:marRight w:val="0"/>
          <w:marTop w:val="0"/>
          <w:marBottom w:val="0"/>
          <w:divBdr>
            <w:top w:val="none" w:sz="0" w:space="0" w:color="auto"/>
            <w:left w:val="none" w:sz="0" w:space="0" w:color="auto"/>
            <w:bottom w:val="none" w:sz="0" w:space="0" w:color="auto"/>
            <w:right w:val="none" w:sz="0" w:space="0" w:color="auto"/>
          </w:divBdr>
        </w:div>
        <w:div w:id="2034912275">
          <w:marLeft w:val="0"/>
          <w:marRight w:val="0"/>
          <w:marTop w:val="0"/>
          <w:marBottom w:val="0"/>
          <w:divBdr>
            <w:top w:val="none" w:sz="0" w:space="0" w:color="auto"/>
            <w:left w:val="none" w:sz="0" w:space="0" w:color="auto"/>
            <w:bottom w:val="none" w:sz="0" w:space="0" w:color="auto"/>
            <w:right w:val="none" w:sz="0" w:space="0" w:color="auto"/>
          </w:divBdr>
        </w:div>
        <w:div w:id="551617676">
          <w:marLeft w:val="0"/>
          <w:marRight w:val="0"/>
          <w:marTop w:val="0"/>
          <w:marBottom w:val="0"/>
          <w:divBdr>
            <w:top w:val="none" w:sz="0" w:space="0" w:color="auto"/>
            <w:left w:val="none" w:sz="0" w:space="0" w:color="auto"/>
            <w:bottom w:val="none" w:sz="0" w:space="0" w:color="auto"/>
            <w:right w:val="none" w:sz="0" w:space="0" w:color="auto"/>
          </w:divBdr>
        </w:div>
        <w:div w:id="2041004213">
          <w:marLeft w:val="0"/>
          <w:marRight w:val="0"/>
          <w:marTop w:val="0"/>
          <w:marBottom w:val="0"/>
          <w:divBdr>
            <w:top w:val="none" w:sz="0" w:space="0" w:color="auto"/>
            <w:left w:val="none" w:sz="0" w:space="0" w:color="auto"/>
            <w:bottom w:val="none" w:sz="0" w:space="0" w:color="auto"/>
            <w:right w:val="none" w:sz="0" w:space="0" w:color="auto"/>
          </w:divBdr>
        </w:div>
        <w:div w:id="1781146199">
          <w:marLeft w:val="0"/>
          <w:marRight w:val="0"/>
          <w:marTop w:val="0"/>
          <w:marBottom w:val="0"/>
          <w:divBdr>
            <w:top w:val="none" w:sz="0" w:space="0" w:color="auto"/>
            <w:left w:val="none" w:sz="0" w:space="0" w:color="auto"/>
            <w:bottom w:val="none" w:sz="0" w:space="0" w:color="auto"/>
            <w:right w:val="none" w:sz="0" w:space="0" w:color="auto"/>
          </w:divBdr>
        </w:div>
        <w:div w:id="1958871877">
          <w:marLeft w:val="0"/>
          <w:marRight w:val="0"/>
          <w:marTop w:val="0"/>
          <w:marBottom w:val="0"/>
          <w:divBdr>
            <w:top w:val="none" w:sz="0" w:space="0" w:color="auto"/>
            <w:left w:val="none" w:sz="0" w:space="0" w:color="auto"/>
            <w:bottom w:val="none" w:sz="0" w:space="0" w:color="auto"/>
            <w:right w:val="none" w:sz="0" w:space="0" w:color="auto"/>
          </w:divBdr>
        </w:div>
        <w:div w:id="22366371">
          <w:marLeft w:val="0"/>
          <w:marRight w:val="0"/>
          <w:marTop w:val="0"/>
          <w:marBottom w:val="0"/>
          <w:divBdr>
            <w:top w:val="none" w:sz="0" w:space="0" w:color="auto"/>
            <w:left w:val="none" w:sz="0" w:space="0" w:color="auto"/>
            <w:bottom w:val="none" w:sz="0" w:space="0" w:color="auto"/>
            <w:right w:val="none" w:sz="0" w:space="0" w:color="auto"/>
          </w:divBdr>
        </w:div>
        <w:div w:id="896551200">
          <w:marLeft w:val="0"/>
          <w:marRight w:val="0"/>
          <w:marTop w:val="0"/>
          <w:marBottom w:val="0"/>
          <w:divBdr>
            <w:top w:val="none" w:sz="0" w:space="0" w:color="auto"/>
            <w:left w:val="none" w:sz="0" w:space="0" w:color="auto"/>
            <w:bottom w:val="none" w:sz="0" w:space="0" w:color="auto"/>
            <w:right w:val="none" w:sz="0" w:space="0" w:color="auto"/>
          </w:divBdr>
        </w:div>
        <w:div w:id="2069331778">
          <w:marLeft w:val="0"/>
          <w:marRight w:val="0"/>
          <w:marTop w:val="0"/>
          <w:marBottom w:val="0"/>
          <w:divBdr>
            <w:top w:val="none" w:sz="0" w:space="0" w:color="auto"/>
            <w:left w:val="none" w:sz="0" w:space="0" w:color="auto"/>
            <w:bottom w:val="none" w:sz="0" w:space="0" w:color="auto"/>
            <w:right w:val="none" w:sz="0" w:space="0" w:color="auto"/>
          </w:divBdr>
        </w:div>
        <w:div w:id="834687759">
          <w:marLeft w:val="0"/>
          <w:marRight w:val="0"/>
          <w:marTop w:val="0"/>
          <w:marBottom w:val="0"/>
          <w:divBdr>
            <w:top w:val="none" w:sz="0" w:space="0" w:color="auto"/>
            <w:left w:val="none" w:sz="0" w:space="0" w:color="auto"/>
            <w:bottom w:val="none" w:sz="0" w:space="0" w:color="auto"/>
            <w:right w:val="none" w:sz="0" w:space="0" w:color="auto"/>
          </w:divBdr>
        </w:div>
        <w:div w:id="221911529">
          <w:marLeft w:val="0"/>
          <w:marRight w:val="0"/>
          <w:marTop w:val="0"/>
          <w:marBottom w:val="0"/>
          <w:divBdr>
            <w:top w:val="none" w:sz="0" w:space="0" w:color="auto"/>
            <w:left w:val="none" w:sz="0" w:space="0" w:color="auto"/>
            <w:bottom w:val="none" w:sz="0" w:space="0" w:color="auto"/>
            <w:right w:val="none" w:sz="0" w:space="0" w:color="auto"/>
          </w:divBdr>
        </w:div>
        <w:div w:id="360712996">
          <w:marLeft w:val="0"/>
          <w:marRight w:val="0"/>
          <w:marTop w:val="0"/>
          <w:marBottom w:val="0"/>
          <w:divBdr>
            <w:top w:val="none" w:sz="0" w:space="0" w:color="auto"/>
            <w:left w:val="none" w:sz="0" w:space="0" w:color="auto"/>
            <w:bottom w:val="none" w:sz="0" w:space="0" w:color="auto"/>
            <w:right w:val="none" w:sz="0" w:space="0" w:color="auto"/>
          </w:divBdr>
        </w:div>
        <w:div w:id="15506548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0964-015-0373-2" TargetMode="External"/><Relationship Id="rId21" Type="http://schemas.openxmlformats.org/officeDocument/2006/relationships/hyperlink" Target="about:blank" TargetMode="External"/><Relationship Id="rId42" Type="http://schemas.openxmlformats.org/officeDocument/2006/relationships/hyperlink" Target="https://www.brainfacts.org/thinking-sensing-and-behaving/childhood-and-adolescence/2025/teens-take-risks-we-should-be-happy-they-do-081225" TargetMode="External"/><Relationship Id="rId47" Type="http://schemas.openxmlformats.org/officeDocument/2006/relationships/hyperlink" Target="https://doi.org/10.1111/cdep.12450" TargetMode="External"/><Relationship Id="rId63" Type="http://schemas.openxmlformats.org/officeDocument/2006/relationships/hyperlink" Target="https://doi.org/10.1037/h0023281" TargetMode="External"/><Relationship Id="rId68" Type="http://schemas.openxmlformats.org/officeDocument/2006/relationships/hyperlink" Target="https://doi.org/10.1016/S2352-4642(20)30186-3" TargetMode="External"/><Relationship Id="rId84" Type="http://schemas.openxmlformats.org/officeDocument/2006/relationships/hyperlink" Target="https://doi.org/10.1017/apa.2025.4" TargetMode="External"/><Relationship Id="rId89" Type="http://schemas.openxmlformats.org/officeDocument/2006/relationships/hyperlink" Target="https://doi.org/10.1007/s43076-024-00407-x" TargetMode="External"/><Relationship Id="rId16" Type="http://schemas.openxmlformats.org/officeDocument/2006/relationships/hyperlink" Target="https://doi.org.10.1016/j.childyouth.2018.11.049" TargetMode="External"/><Relationship Id="rId11" Type="http://schemas.openxmlformats.org/officeDocument/2006/relationships/hyperlink" Target="https://doi.org/10.1111/cdep.12111" TargetMode="External"/><Relationship Id="rId32" Type="http://schemas.openxmlformats.org/officeDocument/2006/relationships/hyperlink" Target="https://doi.org/10.1111/cdep.12310" TargetMode="External"/><Relationship Id="rId37" Type="http://schemas.openxmlformats.org/officeDocument/2006/relationships/hyperlink" Target="https://doi.org/10.1016/j.appdev.2022.101444" TargetMode="External"/><Relationship Id="rId53" Type="http://schemas.openxmlformats.org/officeDocument/2006/relationships/hyperlink" Target="https://doi.org/10.1371/journal.pmed.1000316" TargetMode="External"/><Relationship Id="rId58" Type="http://schemas.openxmlformats.org/officeDocument/2006/relationships/hyperlink" Target="https://doi.org/10.1371/journal.pone.0051380" TargetMode="External"/><Relationship Id="rId74" Type="http://schemas.openxmlformats.org/officeDocument/2006/relationships/hyperlink" Target="https://doi.org/10.3200/GNTP.167.2.189-210" TargetMode="External"/><Relationship Id="rId79" Type="http://schemas.openxmlformats.org/officeDocument/2006/relationships/hyperlink" Target="https://doi.org/10.1177/09567976221102070" TargetMode="External"/><Relationship Id="rId5" Type="http://schemas.openxmlformats.org/officeDocument/2006/relationships/image" Target="media/image1.png"/><Relationship Id="rId90" Type="http://schemas.openxmlformats.org/officeDocument/2006/relationships/hyperlink" Target="https://doi.org/10.1111/jora.12265" TargetMode="External"/><Relationship Id="rId95" Type="http://schemas.openxmlformats.org/officeDocument/2006/relationships/hyperlink" Target="https://dx.doi.org/10.1016.j.jadohealth.2013.10.012" TargetMode="External"/><Relationship Id="rId22" Type="http://schemas.openxmlformats.org/officeDocument/2006/relationships/hyperlink" Target="https://www.coram.org.uk/wp-content/uploads/2023/01/1883-CV-What-Makes-Life-Good-Report-final.pdf" TargetMode="External"/><Relationship Id="rId27" Type="http://schemas.openxmlformats.org/officeDocument/2006/relationships/hyperlink" Target="https://doi.org/10.1177/17579139211016077" TargetMode="External"/><Relationship Id="rId43" Type="http://schemas.openxmlformats.org/officeDocument/2006/relationships/hyperlink" Target="https://youtu.be/y5bj8djGI-I?si=TmP_HKmtLxv3X4MW" TargetMode="External"/><Relationship Id="rId48" Type="http://schemas.openxmlformats.org/officeDocument/2006/relationships/hyperlink" Target="https://doi.org/10.1016/j.childyouth.2020.105861" TargetMode="External"/><Relationship Id="rId64" Type="http://schemas.openxmlformats.org/officeDocument/2006/relationships/hyperlink" Target="https://doi.org/10.3390/children11111294" TargetMode="External"/><Relationship Id="rId69" Type="http://schemas.openxmlformats.org/officeDocument/2006/relationships/hyperlink" Target="https://doi.org/10.1111/jora.12611" TargetMode="External"/><Relationship Id="rId80" Type="http://schemas.openxmlformats.org/officeDocument/2006/relationships/hyperlink" Target="https://doi.org/10.1007/s10964-023-01763-0" TargetMode="External"/><Relationship Id="rId85" Type="http://schemas.openxmlformats.org/officeDocument/2006/relationships/hyperlink" Target="https://doi.org/10.1080/02673843.2025.2467112" TargetMode="External"/><Relationship Id="rId3" Type="http://schemas.openxmlformats.org/officeDocument/2006/relationships/settings" Target="settings.xml"/><Relationship Id="rId12" Type="http://schemas.openxmlformats.org/officeDocument/2006/relationships/hyperlink" Target="https://doi.org/10.1590/1984-0462/2022/40/2020385" TargetMode="External"/><Relationship Id="rId17" Type="http://schemas.openxmlformats.org/officeDocument/2006/relationships/hyperlink" Target="https://doi.org/10.1080/87565641.2016.1158265" TargetMode="External"/><Relationship Id="rId25" Type="http://schemas.openxmlformats.org/officeDocument/2006/relationships/hyperlink" Target="https://doi.org/10.1007/s10566-024-09847-z" TargetMode="External"/><Relationship Id="rId33" Type="http://schemas.openxmlformats.org/officeDocument/2006/relationships/hyperlink" Target="https://doi.org/10.1111/sode.12726" TargetMode="External"/><Relationship Id="rId38" Type="http://schemas.openxmlformats.org/officeDocument/2006/relationships/hyperlink" Target="https://doi.org/10.1007/s42448-023-00166-9" TargetMode="External"/><Relationship Id="rId46" Type="http://schemas.openxmlformats.org/officeDocument/2006/relationships/hyperlink" Target="https://doi.org/10.1007/s10964-012-9759-6" TargetMode="External"/><Relationship Id="rId59" Type="http://schemas.openxmlformats.org/officeDocument/2006/relationships/hyperlink" Target="https://doi.org/10.3389/fpsyg.2023.1231920" TargetMode="External"/><Relationship Id="rId67" Type="http://schemas.openxmlformats.org/officeDocument/2006/relationships/hyperlink" Target="https://doi.org/10.17226/25552" TargetMode="External"/><Relationship Id="rId20" Type="http://schemas.openxmlformats.org/officeDocument/2006/relationships/hyperlink" Target="https://doi.org/10.1002/9780470479193.adlpsy002004" TargetMode="External"/><Relationship Id="rId41" Type="http://schemas.openxmlformats.org/officeDocument/2006/relationships/hyperlink" Target="https://www.brainfacts.org/thinking-sensing-and-behaving/childhood-and-adolescence/2025/teens-take-risks-we-sh" TargetMode="External"/><Relationship Id="rId54" Type="http://schemas.openxmlformats.org/officeDocument/2006/relationships/hyperlink" Target="https://www.carereview.scot/wp-content/uploads/2020/02/The-Promise.pdf" TargetMode="External"/><Relationship Id="rId62" Type="http://schemas.openxmlformats.org/officeDocument/2006/relationships/hyperlink" Target="https://doi.org/10.1111/jora.12639" TargetMode="External"/><Relationship Id="rId70" Type="http://schemas.openxmlformats.org/officeDocument/2006/relationships/hyperlink" Target="https://doi.org/10.15270/58-1-992" TargetMode="External"/><Relationship Id="rId75" Type="http://schemas.openxmlformats.org/officeDocument/2006/relationships/hyperlink" Target="https://doi.org/10.1093/bjsw/bcaa131" TargetMode="External"/><Relationship Id="rId83" Type="http://schemas.openxmlformats.org/officeDocument/2006/relationships/hyperlink" Target="https://doi.org/10.1080/15283488.2021.1947819" TargetMode="External"/><Relationship Id="rId88" Type="http://schemas.openxmlformats.org/officeDocument/2006/relationships/hyperlink" Target="https://doi.org/10.1016/j.chiabu.2023.106092" TargetMode="External"/><Relationship Id="rId91" Type="http://schemas.openxmlformats.org/officeDocument/2006/relationships/hyperlink" Target="https://doi.org/10.1111/jora.12173" TargetMode="External"/><Relationship Id="rId96" Type="http://schemas.openxmlformats.org/officeDocument/2006/relationships/hyperlink" Target="https://doi.org/10.1016/j.bandc.2013.09.008" TargetMode="External"/><Relationship Id="rId1" Type="http://schemas.openxmlformats.org/officeDocument/2006/relationships/customXml" Target="../customXml/item1.xml"/><Relationship Id="rId6" Type="http://schemas.openxmlformats.org/officeDocument/2006/relationships/hyperlink" Target="https://doi.org/10.1111/jopy.12098" TargetMode="External"/><Relationship Id="rId15" Type="http://schemas.openxmlformats.org/officeDocument/2006/relationships/hyperlink" Target="https://becomecharity.org.uk/content/uploads/2024/08/Still-Too-Far-report-FINAL-v1.pdf" TargetMode="External"/><Relationship Id="rId23" Type="http://schemas.openxmlformats.org/officeDocument/2006/relationships/hyperlink" Target="https://doi.org/10.1002/cpp.2776" TargetMode="External"/><Relationship Id="rId28" Type="http://schemas.openxmlformats.org/officeDocument/2006/relationships/hyperlink" Target="https://doi.org/10.1016/j.dr.2021.100979" TargetMode="External"/><Relationship Id="rId36" Type="http://schemas.openxmlformats.org/officeDocument/2006/relationships/hyperlink" Target="https://doi.org/10.1002/car.2826" TargetMode="External"/><Relationship Id="rId49" Type="http://schemas.openxmlformats.org/officeDocument/2006/relationships/hyperlink" Target="https://doi.org/10.1007/s10566-019-09499-4" TargetMode="External"/><Relationship Id="rId57" Type="http://schemas.openxmlformats.org/officeDocument/2006/relationships/hyperlink" Target="https://saferlondon.org.uk/storage/pdfs/Latimer-and-Elias-Adams-with-Firmin-2020-Opportunities-for-peer-safeguarding-interventions.pdf" TargetMode="External"/><Relationship Id="rId10" Type="http://schemas.openxmlformats.org/officeDocument/2006/relationships/hyperlink" Target="https://doi.org/10.1111/cdev.13713" TargetMode="External"/><Relationship Id="rId31" Type="http://schemas.openxmlformats.org/officeDocument/2006/relationships/hyperlink" Target="https://doi.org/10.1007/s10964-009-9403-2" TargetMode="External"/><Relationship Id="rId44" Type="http://schemas.openxmlformats.org/officeDocument/2006/relationships/hyperlink" Target="https://doi.org/10.1016/j.adolescence.2019.03.004" TargetMode="External"/><Relationship Id="rId52" Type="http://schemas.openxmlformats.org/officeDocument/2006/relationships/hyperlink" Target="https://doi.org/10.1007/s10826-013-9820-4" TargetMode="External"/><Relationship Id="rId60" Type="http://schemas.openxmlformats.org/officeDocument/2006/relationships/hyperlink" Target="https://doi.org/10.1007/s10803-025-07039-9" TargetMode="External"/><Relationship Id="rId65" Type="http://schemas.openxmlformats.org/officeDocument/2006/relationships/hyperlink" Target="https://doi.org/10.1111/j.1365-2206.2012.00849.x" TargetMode="External"/><Relationship Id="rId73" Type="http://schemas.openxmlformats.org/officeDocument/2006/relationships/hyperlink" Target="https://doi.org/10.1016/j.childyouth.2024.107798" TargetMode="External"/><Relationship Id="rId78" Type="http://schemas.openxmlformats.org/officeDocument/2006/relationships/hyperlink" Target="https://doi.org/10.1007/s00787-014-0626-8" TargetMode="External"/><Relationship Id="rId81" Type="http://schemas.openxmlformats.org/officeDocument/2006/relationships/hyperlink" Target="https://doi.org/10.3389/fdpys.2024.1435727" TargetMode="External"/><Relationship Id="rId86" Type="http://schemas.openxmlformats.org/officeDocument/2006/relationships/hyperlink" Target="https://doi.org/10.47604/ijp.2976" TargetMode="External"/><Relationship Id="rId94" Type="http://schemas.openxmlformats.org/officeDocument/2006/relationships/hyperlink" Target="https://doi.org/10.1007/s10964-019-00984-6"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11/cdev.13936" TargetMode="External"/><Relationship Id="rId13" Type="http://schemas.openxmlformats.org/officeDocument/2006/relationships/hyperlink" Target="https://doi.org/10.1037/arc0000046" TargetMode="External"/><Relationship Id="rId18" Type="http://schemas.openxmlformats.org/officeDocument/2006/relationships/hyperlink" Target="https://doi.org/10.1136/bmj-2021-069213" TargetMode="External"/><Relationship Id="rId39" Type="http://schemas.openxmlformats.org/officeDocument/2006/relationships/hyperlink" Target="https://doi.org/10.1007/s12144-023-05349-8" TargetMode="External"/><Relationship Id="rId34" Type="http://schemas.openxmlformats.org/officeDocument/2006/relationships/hyperlink" Target="https://doi.org/10.4324/9780429326899-9" TargetMode="External"/><Relationship Id="rId50" Type="http://schemas.openxmlformats.org/officeDocument/2006/relationships/hyperlink" Target="https://doi.org/10.1016/j.adolescence.2018.12.004" TargetMode="External"/><Relationship Id="rId55" Type="http://schemas.openxmlformats.org/officeDocument/2006/relationships/hyperlink" Target="https://doi.org/10.1111/cfs.13084" TargetMode="External"/><Relationship Id="rId76" Type="http://schemas.openxmlformats.org/officeDocument/2006/relationships/hyperlink" Target="https://doi.org/10.1002/car.2823" TargetMode="External"/><Relationship Id="rId97" Type="http://schemas.openxmlformats.org/officeDocument/2006/relationships/hyperlink" Target="https://doi.org/10.5498/wjp.v15.i6.106944" TargetMode="External"/><Relationship Id="rId7" Type="http://schemas.openxmlformats.org/officeDocument/2006/relationships/hyperlink" Target="https://doi.org/10.1017/S0954579424000877" TargetMode="External"/><Relationship Id="rId71" Type="http://schemas.openxmlformats.org/officeDocument/2006/relationships/hyperlink" Target="https://doi.org/10.1037/bul0000382" TargetMode="External"/><Relationship Id="rId92" Type="http://schemas.openxmlformats.org/officeDocument/2006/relationships/hyperlink" Target="https://doi.org/10.1177/0272431618791286" TargetMode="External"/><Relationship Id="rId2" Type="http://schemas.openxmlformats.org/officeDocument/2006/relationships/styles" Target="styles.xml"/><Relationship Id="rId29" Type="http://schemas.openxmlformats.org/officeDocument/2006/relationships/hyperlink" Target="https://doi.org/10.1542/peds.2024-068774" TargetMode="External"/><Relationship Id="rId24" Type="http://schemas.openxmlformats.org/officeDocument/2006/relationships/hyperlink" Target="https://doi.org/10.1016/j.ssmmh.2021.100052" TargetMode="External"/><Relationship Id="rId40" Type="http://schemas.openxmlformats.org/officeDocument/2006/relationships/hyperlink" Target="https://doi.org/10.1111/chso.12683" TargetMode="External"/><Relationship Id="rId45" Type="http://schemas.openxmlformats.org/officeDocument/2006/relationships/hyperlink" Target="https://doi.org/10.2147/PRBM.S443349" TargetMode="External"/><Relationship Id="rId66" Type="http://schemas.openxmlformats.org/officeDocument/2006/relationships/hyperlink" Target="https://doi.org/10.1073/pnas.1305631110" TargetMode="External"/><Relationship Id="rId87" Type="http://schemas.openxmlformats.org/officeDocument/2006/relationships/hyperlink" Target="https://doi.org/10.1016/j.dr.2021.100981" TargetMode="External"/><Relationship Id="rId61" Type="http://schemas.openxmlformats.org/officeDocument/2006/relationships/hyperlink" Target="https://doi.org/10.1111/chso.12787" TargetMode="External"/><Relationship Id="rId82" Type="http://schemas.openxmlformats.org/officeDocument/2006/relationships/hyperlink" Target="https://doi.org/10.1155/2021/8403024" TargetMode="External"/><Relationship Id="rId19" Type="http://schemas.openxmlformats.org/officeDocument/2006/relationships/hyperlink" Target="https://doi.org/10.1177/0272431603262666" TargetMode="External"/><Relationship Id="rId14" Type="http://schemas.openxmlformats.org/officeDocument/2006/relationships/hyperlink" Target="https://doi.org/10.1111/chso.12780" TargetMode="External"/><Relationship Id="rId30" Type="http://schemas.openxmlformats.org/officeDocument/2006/relationships/hyperlink" Target="https://doi.org/10.1177/14732254221075205" TargetMode="External"/><Relationship Id="rId35" Type="http://schemas.openxmlformats.org/officeDocument/2006/relationships/hyperlink" Target="https://basw.co.uk/sites/default/files/resources/Contextual-Safeguarding-Briefing.pdf" TargetMode="External"/><Relationship Id="rId56" Type="http://schemas.openxmlformats.org/officeDocument/2006/relationships/hyperlink" Target="https://doi.org/10.1111/j.1741-3737.2006.00326.x" TargetMode="External"/><Relationship Id="rId77" Type="http://schemas.openxmlformats.org/officeDocument/2006/relationships/hyperlink" Target="https://doi.org/10.1111/j.1467-9507.2007.00445.x" TargetMode="External"/><Relationship Id="rId100" Type="http://schemas.openxmlformats.org/officeDocument/2006/relationships/theme" Target="theme/theme1.xml"/><Relationship Id="rId8" Type="http://schemas.openxmlformats.org/officeDocument/2006/relationships/hyperlink" Target="https://doi.org/10.1017/50954579423001542" TargetMode="External"/><Relationship Id="rId51" Type="http://schemas.openxmlformats.org/officeDocument/2006/relationships/hyperlink" Target="https://doi.org/10.1007/s10964-014-0172-1" TargetMode="External"/><Relationship Id="rId72" Type="http://schemas.openxmlformats.org/officeDocument/2006/relationships/hyperlink" Target="https://doi.org/10.1016/j.childyouth.2025.108496" TargetMode="External"/><Relationship Id="rId93" Type="http://schemas.openxmlformats.org/officeDocument/2006/relationships/hyperlink" Target="https://doi.org/10.1037/xge0001654" TargetMode="External"/><Relationship Id="rId98" Type="http://schemas.openxmlformats.org/officeDocument/2006/relationships/hyperlink" Target="https://doi.org/10.1080/00221325.2024.241348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rdjV4HGtGLhiG6Du6fvbtGoSCw==">CgMxLjA4AHIhMXRDSlBidEx1Tm05RHJxV1VuWlBpOW93dUNodjJ6c1Fs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10951</Words>
  <Characters>62421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 Guinchard</dc:creator>
  <cp:lastModifiedBy>Amanda Isaac</cp:lastModifiedBy>
  <cp:revision>2</cp:revision>
  <cp:lastPrinted>2025-11-10T13:02:00Z</cp:lastPrinted>
  <dcterms:created xsi:type="dcterms:W3CDTF">2025-12-03T10:08:00Z</dcterms:created>
  <dcterms:modified xsi:type="dcterms:W3CDTF">2025-12-03T10:08:00Z</dcterms:modified>
</cp:coreProperties>
</file>